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1D1" w:rsidRPr="0027138D" w:rsidRDefault="00C553E3" w:rsidP="003D71D1">
      <w:pPr>
        <w:jc w:val="center"/>
        <w:outlineLvl w:val="0"/>
        <w:rPr>
          <w:b/>
        </w:rPr>
      </w:pPr>
      <w:r w:rsidRPr="0027138D">
        <w:rPr>
          <w:b/>
        </w:rPr>
        <w:t>АДМИНИСТРАЦИЯ ИНДЕР</w:t>
      </w:r>
      <w:r w:rsidR="00982913" w:rsidRPr="0027138D">
        <w:rPr>
          <w:b/>
        </w:rPr>
        <w:t>СКОГО</w:t>
      </w:r>
      <w:r w:rsidR="003D71D1" w:rsidRPr="0027138D">
        <w:rPr>
          <w:b/>
        </w:rPr>
        <w:t xml:space="preserve"> СЕЛЬСОВЕТА</w:t>
      </w:r>
    </w:p>
    <w:p w:rsidR="003D71D1" w:rsidRPr="0027138D" w:rsidRDefault="003D71D1" w:rsidP="003D71D1">
      <w:pPr>
        <w:jc w:val="center"/>
        <w:outlineLvl w:val="0"/>
        <w:rPr>
          <w:b/>
        </w:rPr>
      </w:pPr>
      <w:r w:rsidRPr="0027138D">
        <w:rPr>
          <w:b/>
        </w:rPr>
        <w:t>ДОВОЛЕНСКОГО РАЙОНА НОВОСИБИРСКОЙ ОБЛАСТИ</w:t>
      </w:r>
    </w:p>
    <w:p w:rsidR="003D71D1" w:rsidRPr="0027138D" w:rsidRDefault="003D71D1" w:rsidP="003D71D1">
      <w:pPr>
        <w:outlineLvl w:val="0"/>
        <w:rPr>
          <w:b/>
        </w:rPr>
      </w:pPr>
    </w:p>
    <w:p w:rsidR="003D71D1" w:rsidRPr="0027138D" w:rsidRDefault="003D71D1" w:rsidP="003D71D1">
      <w:pPr>
        <w:jc w:val="center"/>
        <w:outlineLvl w:val="0"/>
        <w:rPr>
          <w:b/>
        </w:rPr>
      </w:pPr>
    </w:p>
    <w:p w:rsidR="003D71D1" w:rsidRPr="0027138D" w:rsidRDefault="003D71D1" w:rsidP="003D71D1">
      <w:pPr>
        <w:jc w:val="center"/>
        <w:outlineLvl w:val="0"/>
        <w:rPr>
          <w:b/>
        </w:rPr>
      </w:pPr>
      <w:r w:rsidRPr="0027138D">
        <w:rPr>
          <w:b/>
        </w:rPr>
        <w:t>ПОСТАНОВЛЕНИЕ</w:t>
      </w:r>
    </w:p>
    <w:p w:rsidR="003D71D1" w:rsidRPr="0027138D" w:rsidRDefault="003D71D1" w:rsidP="003D71D1">
      <w:pPr>
        <w:jc w:val="center"/>
        <w:outlineLvl w:val="0"/>
        <w:rPr>
          <w:b/>
        </w:rPr>
      </w:pPr>
    </w:p>
    <w:p w:rsidR="003D71D1" w:rsidRPr="0027138D" w:rsidRDefault="001B4E2B" w:rsidP="003D71D1">
      <w:r>
        <w:t>06</w:t>
      </w:r>
      <w:bookmarkStart w:id="0" w:name="_GoBack"/>
      <w:bookmarkEnd w:id="0"/>
      <w:r w:rsidR="00C553E3" w:rsidRPr="0027138D">
        <w:t>.02</w:t>
      </w:r>
      <w:r w:rsidR="003D71D1" w:rsidRPr="0027138D">
        <w:t>.2023</w:t>
      </w:r>
      <w:r w:rsidR="00C553E3" w:rsidRPr="0027138D">
        <w:t xml:space="preserve"> года</w:t>
      </w:r>
      <w:r w:rsidR="003D71D1" w:rsidRPr="0027138D">
        <w:t xml:space="preserve">                                                                            </w:t>
      </w:r>
      <w:r w:rsidR="00C553E3" w:rsidRPr="0027138D">
        <w:t xml:space="preserve">                        </w:t>
      </w:r>
      <w:r w:rsidR="00373933" w:rsidRPr="0027138D">
        <w:t xml:space="preserve">  № </w:t>
      </w:r>
      <w:r>
        <w:t>10</w:t>
      </w:r>
    </w:p>
    <w:p w:rsidR="003D71D1" w:rsidRPr="0027138D" w:rsidRDefault="00C553E3" w:rsidP="003D71D1">
      <w:pPr>
        <w:jc w:val="center"/>
      </w:pPr>
      <w:r w:rsidRPr="0027138D">
        <w:t xml:space="preserve">с. </w:t>
      </w:r>
      <w:proofErr w:type="spellStart"/>
      <w:r w:rsidRPr="0027138D">
        <w:t>Индерь</w:t>
      </w:r>
      <w:proofErr w:type="spellEnd"/>
    </w:p>
    <w:p w:rsidR="003D71D1" w:rsidRPr="0027138D" w:rsidRDefault="003D71D1" w:rsidP="003D71D1">
      <w:pPr>
        <w:pStyle w:val="Standard"/>
        <w:jc w:val="center"/>
        <w:rPr>
          <w:rFonts w:cs="Times New Roman"/>
        </w:rPr>
      </w:pPr>
    </w:p>
    <w:p w:rsidR="008530EE" w:rsidRPr="0027138D" w:rsidRDefault="003D71D1" w:rsidP="008530EE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27138D">
        <w:rPr>
          <w:rFonts w:ascii="Times New Roman" w:hAnsi="Times New Roman" w:cs="Times New Roman"/>
          <w:sz w:val="24"/>
          <w:szCs w:val="24"/>
        </w:rPr>
        <w:t>О внесении изменений в постанов</w:t>
      </w:r>
      <w:r w:rsidR="00C553E3" w:rsidRPr="0027138D">
        <w:rPr>
          <w:rFonts w:ascii="Times New Roman" w:hAnsi="Times New Roman" w:cs="Times New Roman"/>
          <w:sz w:val="24"/>
          <w:szCs w:val="24"/>
        </w:rPr>
        <w:t xml:space="preserve">ление администрации </w:t>
      </w:r>
      <w:proofErr w:type="spellStart"/>
      <w:r w:rsidR="00C553E3" w:rsidRPr="0027138D">
        <w:rPr>
          <w:rFonts w:ascii="Times New Roman" w:hAnsi="Times New Roman" w:cs="Times New Roman"/>
          <w:sz w:val="24"/>
          <w:szCs w:val="24"/>
        </w:rPr>
        <w:t>Индер</w:t>
      </w:r>
      <w:r w:rsidR="00982913" w:rsidRPr="0027138D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27138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7138D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27138D">
        <w:rPr>
          <w:rFonts w:ascii="Times New Roman" w:hAnsi="Times New Roman" w:cs="Times New Roman"/>
          <w:sz w:val="24"/>
          <w:szCs w:val="24"/>
        </w:rPr>
        <w:t xml:space="preserve"> ра</w:t>
      </w:r>
      <w:r w:rsidR="00C553E3" w:rsidRPr="0027138D">
        <w:rPr>
          <w:rFonts w:ascii="Times New Roman" w:hAnsi="Times New Roman" w:cs="Times New Roman"/>
          <w:sz w:val="24"/>
          <w:szCs w:val="24"/>
        </w:rPr>
        <w:t>йона Новосибирской области от 21.04.2021 № 29</w:t>
      </w:r>
      <w:r w:rsidRPr="0027138D">
        <w:rPr>
          <w:rFonts w:ascii="Times New Roman" w:hAnsi="Times New Roman" w:cs="Times New Roman"/>
          <w:sz w:val="24"/>
          <w:szCs w:val="24"/>
        </w:rPr>
        <w:t xml:space="preserve"> «</w:t>
      </w:r>
      <w:r w:rsidR="008530EE" w:rsidRPr="0027138D">
        <w:rPr>
          <w:rFonts w:ascii="Times New Roman" w:hAnsi="Times New Roman" w:cs="Times New Roman"/>
          <w:sz w:val="24"/>
          <w:szCs w:val="24"/>
          <w:lang w:eastAsia="ar-SA"/>
        </w:rPr>
        <w:t xml:space="preserve">Об утверждении качественных показателей деятельности муниципальных  учреждений в сфере культуры </w:t>
      </w:r>
      <w:proofErr w:type="spellStart"/>
      <w:r w:rsidR="008530EE" w:rsidRPr="0027138D">
        <w:rPr>
          <w:rFonts w:ascii="Times New Roman" w:hAnsi="Times New Roman" w:cs="Times New Roman"/>
          <w:sz w:val="24"/>
          <w:szCs w:val="24"/>
          <w:lang w:eastAsia="ar-SA"/>
        </w:rPr>
        <w:t>Индерского</w:t>
      </w:r>
      <w:proofErr w:type="spellEnd"/>
      <w:r w:rsidR="008530EE" w:rsidRPr="0027138D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 </w:t>
      </w:r>
      <w:proofErr w:type="spellStart"/>
      <w:r w:rsidR="008530EE" w:rsidRPr="0027138D">
        <w:rPr>
          <w:rFonts w:ascii="Times New Roman" w:hAnsi="Times New Roman" w:cs="Times New Roman"/>
          <w:sz w:val="24"/>
          <w:szCs w:val="24"/>
          <w:lang w:eastAsia="ar-SA"/>
        </w:rPr>
        <w:t>Доволенского</w:t>
      </w:r>
      <w:proofErr w:type="spellEnd"/>
      <w:r w:rsidR="008530EE" w:rsidRPr="0027138D">
        <w:rPr>
          <w:rFonts w:ascii="Times New Roman" w:hAnsi="Times New Roman" w:cs="Times New Roman"/>
          <w:sz w:val="24"/>
          <w:szCs w:val="24"/>
          <w:lang w:eastAsia="ar-SA"/>
        </w:rPr>
        <w:t xml:space="preserve"> района Новосибирской области  и  критериев оценки работы, </w:t>
      </w:r>
      <w:r w:rsidR="008530EE" w:rsidRPr="0027138D">
        <w:rPr>
          <w:rFonts w:ascii="Times New Roman" w:hAnsi="Times New Roman" w:cs="Times New Roman"/>
          <w:iCs/>
          <w:sz w:val="24"/>
          <w:szCs w:val="24"/>
          <w:lang w:eastAsia="ar-SA"/>
        </w:rPr>
        <w:t>учитываемые при определении выплат стимулирующего характера руководителям учреждений</w:t>
      </w:r>
      <w:r w:rsidR="008530EE" w:rsidRPr="0027138D">
        <w:rPr>
          <w:rFonts w:ascii="Times New Roman" w:hAnsi="Times New Roman" w:cs="Times New Roman"/>
          <w:sz w:val="24"/>
          <w:szCs w:val="24"/>
          <w:lang w:eastAsia="ar-SA"/>
        </w:rPr>
        <w:t xml:space="preserve"> на 2021-2023 годы»</w:t>
      </w:r>
    </w:p>
    <w:p w:rsidR="003D71D1" w:rsidRPr="0027138D" w:rsidRDefault="003D71D1" w:rsidP="003D71D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D71D1" w:rsidRPr="0027138D" w:rsidRDefault="003D71D1" w:rsidP="00D6020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138D">
        <w:rPr>
          <w:rFonts w:ascii="Times New Roman" w:hAnsi="Times New Roman" w:cs="Times New Roman"/>
          <w:sz w:val="24"/>
          <w:szCs w:val="24"/>
        </w:rPr>
        <w:t xml:space="preserve">В целях повышения активности муниципальных учреждений культуры </w:t>
      </w:r>
      <w:proofErr w:type="spellStart"/>
      <w:r w:rsidRPr="0027138D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27138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реализации федерального проекта социальной поддержки молодежи в возрасте от 14 до 22 лет «Пушкинская карта», на основании Дополнительного соглашения </w:t>
      </w:r>
      <w:r w:rsidRPr="0027138D">
        <w:rPr>
          <w:rFonts w:ascii="Times New Roman" w:hAnsi="Times New Roman" w:cs="Times New Roman"/>
          <w:sz w:val="24"/>
          <w:szCs w:val="24"/>
          <w:lang w:eastAsia="ru-RU"/>
        </w:rPr>
        <w:t xml:space="preserve">к Отраслевому соглашению между отделом культуры </w:t>
      </w:r>
      <w:proofErr w:type="spellStart"/>
      <w:r w:rsidRPr="0027138D">
        <w:rPr>
          <w:rFonts w:ascii="Times New Roman" w:hAnsi="Times New Roman" w:cs="Times New Roman"/>
          <w:sz w:val="24"/>
          <w:szCs w:val="24"/>
          <w:lang w:eastAsia="ru-RU"/>
        </w:rPr>
        <w:t>Доволенского</w:t>
      </w:r>
      <w:proofErr w:type="spellEnd"/>
      <w:r w:rsidRPr="0027138D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Новосибирской области и комитетом профсоюза работников культуры </w:t>
      </w:r>
      <w:proofErr w:type="spellStart"/>
      <w:r w:rsidRPr="0027138D">
        <w:rPr>
          <w:rFonts w:ascii="Times New Roman" w:hAnsi="Times New Roman" w:cs="Times New Roman"/>
          <w:sz w:val="24"/>
          <w:szCs w:val="24"/>
          <w:lang w:eastAsia="ru-RU"/>
        </w:rPr>
        <w:t>Доволенского</w:t>
      </w:r>
      <w:proofErr w:type="spellEnd"/>
      <w:r w:rsidRPr="0027138D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2021-2023 годы, </w:t>
      </w:r>
      <w:r w:rsidRPr="0027138D">
        <w:rPr>
          <w:rFonts w:ascii="Times New Roman" w:hAnsi="Times New Roman" w:cs="Times New Roman"/>
          <w:color w:val="000000"/>
          <w:sz w:val="24"/>
          <w:szCs w:val="24"/>
        </w:rPr>
        <w:t xml:space="preserve">зарегистрированное в управлении экономического развития администрации </w:t>
      </w:r>
      <w:proofErr w:type="spellStart"/>
      <w:r w:rsidRPr="0027138D">
        <w:rPr>
          <w:rFonts w:ascii="Times New Roman" w:hAnsi="Times New Roman" w:cs="Times New Roman"/>
          <w:color w:val="000000"/>
          <w:sz w:val="24"/>
          <w:szCs w:val="24"/>
        </w:rPr>
        <w:t>Доволенского</w:t>
      </w:r>
      <w:proofErr w:type="spellEnd"/>
      <w:proofErr w:type="gramEnd"/>
      <w:r w:rsidRPr="0027138D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 от 22.11.2022 № 1/4,  </w:t>
      </w:r>
      <w:r w:rsidR="00D60201" w:rsidRPr="0027138D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постановления администрации </w:t>
      </w:r>
      <w:proofErr w:type="spellStart"/>
      <w:r w:rsidR="00D60201" w:rsidRPr="0027138D">
        <w:rPr>
          <w:rFonts w:ascii="Times New Roman" w:hAnsi="Times New Roman" w:cs="Times New Roman"/>
          <w:color w:val="000000"/>
          <w:sz w:val="24"/>
          <w:szCs w:val="24"/>
        </w:rPr>
        <w:t>Доволенского</w:t>
      </w:r>
      <w:proofErr w:type="spellEnd"/>
      <w:r w:rsidR="00D60201" w:rsidRPr="0027138D">
        <w:rPr>
          <w:rFonts w:ascii="Times New Roman" w:hAnsi="Times New Roman" w:cs="Times New Roman"/>
          <w:color w:val="000000"/>
          <w:sz w:val="24"/>
          <w:szCs w:val="24"/>
        </w:rPr>
        <w:t xml:space="preserve"> района от 30.12.2022 № 865-па «</w:t>
      </w:r>
      <w:r w:rsidR="00D60201" w:rsidRPr="0027138D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D60201" w:rsidRPr="0027138D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="00D60201" w:rsidRPr="0027138D">
        <w:rPr>
          <w:rFonts w:ascii="Times New Roman" w:hAnsi="Times New Roman" w:cs="Times New Roman"/>
          <w:sz w:val="24"/>
          <w:szCs w:val="24"/>
        </w:rPr>
        <w:t xml:space="preserve"> района Новосибирской об</w:t>
      </w:r>
      <w:r w:rsidR="008530EE" w:rsidRPr="0027138D">
        <w:rPr>
          <w:rFonts w:ascii="Times New Roman" w:hAnsi="Times New Roman" w:cs="Times New Roman"/>
          <w:sz w:val="24"/>
          <w:szCs w:val="24"/>
        </w:rPr>
        <w:t>ласти от 29.03.2021 № 157-па»,</w:t>
      </w:r>
      <w:r w:rsidR="00D60201" w:rsidRPr="0027138D">
        <w:rPr>
          <w:rFonts w:ascii="Times New Roman" w:hAnsi="Times New Roman" w:cs="Times New Roman"/>
          <w:sz w:val="24"/>
          <w:szCs w:val="24"/>
        </w:rPr>
        <w:t xml:space="preserve"> </w:t>
      </w:r>
      <w:r w:rsidR="008530EE" w:rsidRPr="0027138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8530EE" w:rsidRPr="0027138D">
        <w:rPr>
          <w:rFonts w:ascii="Times New Roman" w:hAnsi="Times New Roman" w:cs="Times New Roman"/>
          <w:sz w:val="24"/>
          <w:szCs w:val="24"/>
        </w:rPr>
        <w:t>Индер</w:t>
      </w:r>
      <w:r w:rsidR="00982913" w:rsidRPr="0027138D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27138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8530EE" w:rsidRPr="0027138D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="008530EE" w:rsidRPr="0027138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3D71D1" w:rsidRPr="0027138D" w:rsidRDefault="003D71D1" w:rsidP="003D71D1">
      <w:pPr>
        <w:pStyle w:val="a3"/>
        <w:ind w:firstLine="708"/>
        <w:jc w:val="both"/>
        <w:rPr>
          <w:sz w:val="24"/>
        </w:rPr>
      </w:pPr>
      <w:r w:rsidRPr="0027138D">
        <w:rPr>
          <w:sz w:val="24"/>
        </w:rPr>
        <w:t>ПОСТАНОВЛЯЕТ:</w:t>
      </w:r>
    </w:p>
    <w:p w:rsidR="003D71D1" w:rsidRPr="0027138D" w:rsidRDefault="008530EE" w:rsidP="008530E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138D">
        <w:rPr>
          <w:rFonts w:ascii="Times New Roman" w:hAnsi="Times New Roman" w:cs="Times New Roman"/>
          <w:sz w:val="24"/>
          <w:szCs w:val="24"/>
        </w:rPr>
        <w:t xml:space="preserve">    </w:t>
      </w:r>
      <w:r w:rsidR="0027138D" w:rsidRPr="0027138D">
        <w:rPr>
          <w:rFonts w:ascii="Times New Roman" w:hAnsi="Times New Roman" w:cs="Times New Roman"/>
          <w:sz w:val="24"/>
          <w:szCs w:val="24"/>
        </w:rPr>
        <w:t xml:space="preserve">    </w:t>
      </w:r>
      <w:r w:rsidRPr="0027138D">
        <w:rPr>
          <w:rFonts w:ascii="Times New Roman" w:hAnsi="Times New Roman" w:cs="Times New Roman"/>
          <w:sz w:val="24"/>
          <w:szCs w:val="24"/>
        </w:rPr>
        <w:t xml:space="preserve"> </w:t>
      </w:r>
      <w:r w:rsidR="003D71D1" w:rsidRPr="0027138D">
        <w:rPr>
          <w:rFonts w:ascii="Times New Roman" w:hAnsi="Times New Roman" w:cs="Times New Roman"/>
          <w:sz w:val="24"/>
          <w:szCs w:val="24"/>
        </w:rPr>
        <w:t xml:space="preserve">1. </w:t>
      </w:r>
      <w:r w:rsidR="003D71D1" w:rsidRPr="0027138D">
        <w:rPr>
          <w:rFonts w:ascii="Times New Roman" w:hAnsi="Times New Roman" w:cs="Times New Roman"/>
          <w:sz w:val="24"/>
          <w:szCs w:val="24"/>
          <w:lang w:eastAsia="ru-RU"/>
        </w:rPr>
        <w:t xml:space="preserve">Внести в </w:t>
      </w:r>
      <w:r w:rsidR="003D71D1" w:rsidRPr="0027138D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27138D">
        <w:rPr>
          <w:rFonts w:ascii="Times New Roman" w:hAnsi="Times New Roman" w:cs="Times New Roman"/>
          <w:sz w:val="24"/>
          <w:szCs w:val="24"/>
        </w:rPr>
        <w:t>Индер</w:t>
      </w:r>
      <w:r w:rsidR="00982913" w:rsidRPr="0027138D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D60201" w:rsidRPr="0027138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27138D">
        <w:rPr>
          <w:rFonts w:ascii="Times New Roman" w:hAnsi="Times New Roman" w:cs="Times New Roman"/>
          <w:sz w:val="24"/>
          <w:szCs w:val="24"/>
        </w:rPr>
        <w:t xml:space="preserve"> от 21.04.2021  № 29</w:t>
      </w:r>
      <w:r w:rsidR="003D71D1" w:rsidRPr="0027138D">
        <w:rPr>
          <w:rFonts w:ascii="Times New Roman" w:hAnsi="Times New Roman" w:cs="Times New Roman"/>
          <w:sz w:val="24"/>
          <w:szCs w:val="24"/>
        </w:rPr>
        <w:t xml:space="preserve"> «</w:t>
      </w:r>
      <w:r w:rsidRPr="0027138D">
        <w:rPr>
          <w:rFonts w:ascii="Times New Roman" w:hAnsi="Times New Roman" w:cs="Times New Roman"/>
          <w:sz w:val="24"/>
          <w:szCs w:val="24"/>
          <w:lang w:eastAsia="ar-SA"/>
        </w:rPr>
        <w:t xml:space="preserve">Об утверждении качественных показателей деятельности муниципальных  учреждений в сфере культуры </w:t>
      </w:r>
      <w:proofErr w:type="spellStart"/>
      <w:r w:rsidRPr="0027138D">
        <w:rPr>
          <w:rFonts w:ascii="Times New Roman" w:hAnsi="Times New Roman" w:cs="Times New Roman"/>
          <w:sz w:val="24"/>
          <w:szCs w:val="24"/>
          <w:lang w:eastAsia="ar-SA"/>
        </w:rPr>
        <w:t>Индерского</w:t>
      </w:r>
      <w:proofErr w:type="spellEnd"/>
      <w:r w:rsidRPr="0027138D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 </w:t>
      </w:r>
      <w:proofErr w:type="spellStart"/>
      <w:r w:rsidRPr="0027138D">
        <w:rPr>
          <w:rFonts w:ascii="Times New Roman" w:hAnsi="Times New Roman" w:cs="Times New Roman"/>
          <w:sz w:val="24"/>
          <w:szCs w:val="24"/>
          <w:lang w:eastAsia="ar-SA"/>
        </w:rPr>
        <w:t>Доволенского</w:t>
      </w:r>
      <w:proofErr w:type="spellEnd"/>
      <w:r w:rsidRPr="0027138D">
        <w:rPr>
          <w:rFonts w:ascii="Times New Roman" w:hAnsi="Times New Roman" w:cs="Times New Roman"/>
          <w:sz w:val="24"/>
          <w:szCs w:val="24"/>
          <w:lang w:eastAsia="ar-SA"/>
        </w:rPr>
        <w:t xml:space="preserve"> района Новосибирской области  и  критериев оценки работы, </w:t>
      </w:r>
      <w:r w:rsidRPr="0027138D">
        <w:rPr>
          <w:rFonts w:ascii="Times New Roman" w:hAnsi="Times New Roman" w:cs="Times New Roman"/>
          <w:iCs/>
          <w:sz w:val="24"/>
          <w:szCs w:val="24"/>
          <w:lang w:eastAsia="ar-SA"/>
        </w:rPr>
        <w:t>учитываемые при определении выплат стимулирующего характера руководителям учреждений</w:t>
      </w:r>
      <w:r w:rsidRPr="0027138D">
        <w:rPr>
          <w:rFonts w:ascii="Times New Roman" w:hAnsi="Times New Roman" w:cs="Times New Roman"/>
          <w:sz w:val="24"/>
          <w:szCs w:val="24"/>
          <w:lang w:eastAsia="ar-SA"/>
        </w:rPr>
        <w:t xml:space="preserve"> на 2021-2023 годы» </w:t>
      </w:r>
      <w:r w:rsidR="003D71D1" w:rsidRPr="0027138D">
        <w:rPr>
          <w:rFonts w:ascii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3D71D1" w:rsidRPr="0027138D" w:rsidRDefault="00BB060B" w:rsidP="003D71D1">
      <w:pPr>
        <w:ind w:firstLine="708"/>
        <w:jc w:val="both"/>
      </w:pPr>
      <w:r w:rsidRPr="0027138D">
        <w:rPr>
          <w:lang w:eastAsia="ru-RU"/>
        </w:rPr>
        <w:t xml:space="preserve">1.1. Приложение № 1 </w:t>
      </w:r>
      <w:r w:rsidR="003D71D1" w:rsidRPr="0027138D">
        <w:rPr>
          <w:lang w:eastAsia="ru-RU"/>
        </w:rPr>
        <w:t>постан</w:t>
      </w:r>
      <w:r w:rsidR="00993DCB" w:rsidRPr="0027138D">
        <w:rPr>
          <w:lang w:eastAsia="ru-RU"/>
        </w:rPr>
        <w:t xml:space="preserve">овления </w:t>
      </w:r>
      <w:r w:rsidR="0027138D" w:rsidRPr="0027138D">
        <w:rPr>
          <w:lang w:eastAsia="ru-RU"/>
        </w:rPr>
        <w:t>изложить в новой редакции согласно приложению.</w:t>
      </w:r>
    </w:p>
    <w:p w:rsidR="00373933" w:rsidRPr="0027138D" w:rsidRDefault="00373933" w:rsidP="0037393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38D">
        <w:rPr>
          <w:rFonts w:ascii="Times New Roman" w:hAnsi="Times New Roman" w:cs="Times New Roman"/>
          <w:sz w:val="24"/>
          <w:szCs w:val="24"/>
        </w:rPr>
        <w:t xml:space="preserve">2. </w:t>
      </w:r>
      <w:r w:rsidRPr="0027138D">
        <w:rPr>
          <w:rFonts w:ascii="Times New Roman" w:hAnsi="Times New Roman" w:cs="Times New Roman"/>
          <w:color w:val="000000"/>
          <w:sz w:val="24"/>
          <w:szCs w:val="24"/>
        </w:rPr>
        <w:t>Специалисту</w:t>
      </w:r>
      <w:r w:rsidR="0027138D" w:rsidRPr="0027138D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  <w:r w:rsidRPr="00271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138D">
        <w:rPr>
          <w:rFonts w:ascii="Times New Roman" w:hAnsi="Times New Roman" w:cs="Times New Roman"/>
          <w:sz w:val="24"/>
          <w:szCs w:val="24"/>
        </w:rPr>
        <w:t xml:space="preserve">  внести в трудовой догово</w:t>
      </w:r>
      <w:r w:rsidR="0027138D" w:rsidRPr="0027138D">
        <w:rPr>
          <w:rFonts w:ascii="Times New Roman" w:hAnsi="Times New Roman" w:cs="Times New Roman"/>
          <w:sz w:val="24"/>
          <w:szCs w:val="24"/>
        </w:rPr>
        <w:t xml:space="preserve">р  с директором МКУК </w:t>
      </w:r>
      <w:proofErr w:type="spellStart"/>
      <w:r w:rsidR="0027138D" w:rsidRPr="0027138D">
        <w:rPr>
          <w:rFonts w:ascii="Times New Roman" w:hAnsi="Times New Roman" w:cs="Times New Roman"/>
          <w:sz w:val="24"/>
          <w:szCs w:val="24"/>
        </w:rPr>
        <w:t>Индер</w:t>
      </w:r>
      <w:r w:rsidR="00982913" w:rsidRPr="0027138D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27138D">
        <w:rPr>
          <w:rFonts w:ascii="Times New Roman" w:hAnsi="Times New Roman" w:cs="Times New Roman"/>
          <w:sz w:val="24"/>
          <w:szCs w:val="24"/>
        </w:rPr>
        <w:t xml:space="preserve"> СДК  изменения с учетом утвержденных качественных  показателей и критериев оценки эффективности деятельности руководителей. </w:t>
      </w:r>
    </w:p>
    <w:p w:rsidR="00373933" w:rsidRPr="0027138D" w:rsidRDefault="00373933" w:rsidP="00373933">
      <w:pPr>
        <w:ind w:firstLine="708"/>
        <w:jc w:val="both"/>
      </w:pPr>
      <w:r w:rsidRPr="0027138D">
        <w:t xml:space="preserve">3. </w:t>
      </w:r>
      <w:proofErr w:type="gramStart"/>
      <w:r w:rsidRPr="0027138D">
        <w:t>Контроль  за</w:t>
      </w:r>
      <w:proofErr w:type="gramEnd"/>
      <w:r w:rsidRPr="0027138D">
        <w:t xml:space="preserve"> исполнением настоящего постановления </w:t>
      </w:r>
      <w:r w:rsidR="00BA1B54" w:rsidRPr="0027138D">
        <w:t>оставляю за собой.</w:t>
      </w:r>
    </w:p>
    <w:p w:rsidR="00373933" w:rsidRPr="0027138D" w:rsidRDefault="00373933" w:rsidP="0037393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3933" w:rsidRPr="0027138D" w:rsidRDefault="0027138D" w:rsidP="0037393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138D">
        <w:t xml:space="preserve">Глава  </w:t>
      </w:r>
      <w:proofErr w:type="spellStart"/>
      <w:r w:rsidRPr="0027138D">
        <w:t>Индер</w:t>
      </w:r>
      <w:r w:rsidR="00982913" w:rsidRPr="0027138D">
        <w:t>ского</w:t>
      </w:r>
      <w:proofErr w:type="spellEnd"/>
      <w:r w:rsidR="00373933" w:rsidRPr="0027138D">
        <w:t xml:space="preserve"> сельсовета</w:t>
      </w:r>
    </w:p>
    <w:p w:rsidR="00373933" w:rsidRPr="0027138D" w:rsidRDefault="00373933" w:rsidP="00373933">
      <w:pPr>
        <w:jc w:val="both"/>
        <w:outlineLvl w:val="0"/>
      </w:pPr>
      <w:proofErr w:type="spellStart"/>
      <w:r w:rsidRPr="0027138D">
        <w:t>Доволенского</w:t>
      </w:r>
      <w:proofErr w:type="spellEnd"/>
      <w:r w:rsidRPr="0027138D">
        <w:t xml:space="preserve"> района        </w:t>
      </w:r>
    </w:p>
    <w:p w:rsidR="002343F4" w:rsidRPr="0027138D" w:rsidRDefault="00373933" w:rsidP="00BA1B54">
      <w:pPr>
        <w:jc w:val="both"/>
      </w:pPr>
      <w:r w:rsidRPr="0027138D">
        <w:t xml:space="preserve">Новосибирской области                                            </w:t>
      </w:r>
      <w:r w:rsidR="0027138D" w:rsidRPr="0027138D">
        <w:t xml:space="preserve">     </w:t>
      </w:r>
      <w:r w:rsidR="00833334">
        <w:t xml:space="preserve">             </w:t>
      </w:r>
      <w:r w:rsidR="0027138D" w:rsidRPr="0027138D">
        <w:t xml:space="preserve">            Г.П. </w:t>
      </w:r>
      <w:proofErr w:type="spellStart"/>
      <w:r w:rsidR="0027138D" w:rsidRPr="0027138D">
        <w:t>Зенков</w:t>
      </w:r>
      <w:proofErr w:type="spellEnd"/>
    </w:p>
    <w:p w:rsidR="008530EE" w:rsidRPr="0027138D" w:rsidRDefault="008530EE" w:rsidP="00BA1B54">
      <w:pPr>
        <w:jc w:val="both"/>
      </w:pPr>
    </w:p>
    <w:p w:rsidR="008530EE" w:rsidRPr="0027138D" w:rsidRDefault="008530EE" w:rsidP="00BA1B54">
      <w:pPr>
        <w:jc w:val="both"/>
      </w:pPr>
    </w:p>
    <w:p w:rsidR="008530EE" w:rsidRPr="0027138D" w:rsidRDefault="008530EE" w:rsidP="00BA1B54">
      <w:pPr>
        <w:jc w:val="both"/>
      </w:pPr>
    </w:p>
    <w:p w:rsidR="008530EE" w:rsidRPr="0027138D" w:rsidRDefault="008530EE" w:rsidP="00BA1B54">
      <w:pPr>
        <w:jc w:val="both"/>
      </w:pPr>
    </w:p>
    <w:p w:rsidR="008530EE" w:rsidRPr="0027138D" w:rsidRDefault="008530EE" w:rsidP="00BA1B54">
      <w:pPr>
        <w:jc w:val="both"/>
      </w:pPr>
    </w:p>
    <w:p w:rsidR="0027138D" w:rsidRDefault="0027138D" w:rsidP="008530E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7138D" w:rsidRDefault="0027138D" w:rsidP="008530E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33334" w:rsidRDefault="00833334" w:rsidP="008530E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33334" w:rsidRDefault="00833334" w:rsidP="008530E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33334" w:rsidRDefault="00833334" w:rsidP="008530E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Индерского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33334" w:rsidRDefault="00833334" w:rsidP="008530E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06.02.2023 № 10</w:t>
      </w:r>
    </w:p>
    <w:p w:rsidR="00833334" w:rsidRDefault="00833334" w:rsidP="008530E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530EE" w:rsidRPr="0027138D" w:rsidRDefault="008530EE" w:rsidP="008530E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7138D">
        <w:rPr>
          <w:rFonts w:ascii="Times New Roman" w:hAnsi="Times New Roman" w:cs="Times New Roman"/>
          <w:sz w:val="24"/>
          <w:szCs w:val="24"/>
        </w:rPr>
        <w:t>Приложение  № 1</w:t>
      </w:r>
    </w:p>
    <w:p w:rsidR="008530EE" w:rsidRPr="0027138D" w:rsidRDefault="008530EE" w:rsidP="008530E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7138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33334" w:rsidRDefault="0027138D" w:rsidP="008530E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7138D">
        <w:rPr>
          <w:rFonts w:ascii="Times New Roman" w:hAnsi="Times New Roman" w:cs="Times New Roman"/>
          <w:sz w:val="24"/>
          <w:szCs w:val="24"/>
        </w:rPr>
        <w:t>Индер</w:t>
      </w:r>
      <w:r w:rsidR="008530EE" w:rsidRPr="0027138D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8530EE" w:rsidRPr="0027138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33334" w:rsidRDefault="00833334" w:rsidP="008530E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8530EE" w:rsidRPr="0027138D" w:rsidRDefault="00833334" w:rsidP="008530EE">
      <w:pPr>
        <w:pStyle w:val="a5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8530EE" w:rsidRPr="0027138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8530EE" w:rsidRPr="0027138D" w:rsidRDefault="0027138D" w:rsidP="008530E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7138D">
        <w:rPr>
          <w:rFonts w:ascii="Times New Roman" w:hAnsi="Times New Roman" w:cs="Times New Roman"/>
          <w:sz w:val="24"/>
          <w:szCs w:val="24"/>
        </w:rPr>
        <w:t>от  29</w:t>
      </w:r>
      <w:r w:rsidR="008530EE" w:rsidRPr="0027138D">
        <w:rPr>
          <w:rFonts w:ascii="Times New Roman" w:hAnsi="Times New Roman" w:cs="Times New Roman"/>
          <w:sz w:val="24"/>
          <w:szCs w:val="24"/>
        </w:rPr>
        <w:t>.04.2021 №</w:t>
      </w:r>
      <w:r w:rsidRPr="0027138D">
        <w:rPr>
          <w:rFonts w:ascii="Times New Roman" w:hAnsi="Times New Roman" w:cs="Times New Roman"/>
          <w:sz w:val="24"/>
          <w:szCs w:val="24"/>
        </w:rPr>
        <w:t xml:space="preserve"> 29</w:t>
      </w:r>
    </w:p>
    <w:p w:rsidR="008530EE" w:rsidRPr="0027138D" w:rsidRDefault="008530EE" w:rsidP="008530E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530EE" w:rsidRPr="0027138D" w:rsidRDefault="008530EE" w:rsidP="008530EE">
      <w:pPr>
        <w:pStyle w:val="a9"/>
        <w:rPr>
          <w:rStyle w:val="aa"/>
          <w:sz w:val="24"/>
          <w:szCs w:val="24"/>
        </w:rPr>
      </w:pPr>
      <w:r w:rsidRPr="0027138D">
        <w:rPr>
          <w:rStyle w:val="aa"/>
          <w:sz w:val="24"/>
          <w:szCs w:val="24"/>
        </w:rPr>
        <w:t xml:space="preserve">Качественные показатели деятельности </w:t>
      </w:r>
      <w:r w:rsidR="00833334">
        <w:rPr>
          <w:sz w:val="24"/>
          <w:szCs w:val="24"/>
        </w:rPr>
        <w:t xml:space="preserve">МКУК  </w:t>
      </w:r>
      <w:proofErr w:type="spellStart"/>
      <w:r w:rsidR="00833334">
        <w:rPr>
          <w:sz w:val="24"/>
          <w:szCs w:val="24"/>
        </w:rPr>
        <w:t>Индерский</w:t>
      </w:r>
      <w:proofErr w:type="spellEnd"/>
      <w:r w:rsidRPr="0027138D">
        <w:rPr>
          <w:sz w:val="24"/>
          <w:szCs w:val="24"/>
        </w:rPr>
        <w:t xml:space="preserve"> СДК</w:t>
      </w:r>
      <w:r w:rsidRPr="0027138D">
        <w:rPr>
          <w:rStyle w:val="aa"/>
          <w:sz w:val="24"/>
          <w:szCs w:val="24"/>
        </w:rPr>
        <w:t xml:space="preserve">, учитываемые при определении выплат стимулирующего  характера </w:t>
      </w:r>
      <w:r w:rsidRPr="0027138D">
        <w:rPr>
          <w:sz w:val="24"/>
          <w:szCs w:val="24"/>
        </w:rPr>
        <w:t xml:space="preserve"> </w:t>
      </w:r>
      <w:r w:rsidRPr="0027138D">
        <w:rPr>
          <w:rStyle w:val="aa"/>
          <w:sz w:val="24"/>
          <w:szCs w:val="24"/>
        </w:rPr>
        <w:t>руководителю  учреждения</w:t>
      </w:r>
    </w:p>
    <w:p w:rsidR="008530EE" w:rsidRPr="0027138D" w:rsidRDefault="008530EE" w:rsidP="008530EE">
      <w:pPr>
        <w:pStyle w:val="a9"/>
        <w:rPr>
          <w:rStyle w:val="aa"/>
          <w:b w:val="0"/>
          <w:sz w:val="24"/>
          <w:szCs w:val="24"/>
        </w:rPr>
      </w:pPr>
    </w:p>
    <w:p w:rsidR="008530EE" w:rsidRPr="0027138D" w:rsidRDefault="008530EE" w:rsidP="008530EE">
      <w:pPr>
        <w:pStyle w:val="a9"/>
        <w:rPr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521"/>
        <w:gridCol w:w="2410"/>
      </w:tblGrid>
      <w:tr w:rsidR="008530EE" w:rsidRPr="0027138D" w:rsidTr="007D05E7">
        <w:tc>
          <w:tcPr>
            <w:tcW w:w="709" w:type="dxa"/>
            <w:shd w:val="clear" w:color="auto" w:fill="auto"/>
          </w:tcPr>
          <w:p w:rsidR="008530EE" w:rsidRPr="0027138D" w:rsidRDefault="008530EE" w:rsidP="00EA49DC">
            <w:pPr>
              <w:spacing w:before="14" w:line="312" w:lineRule="exact"/>
              <w:jc w:val="center"/>
              <w:rPr>
                <w:b/>
                <w:iCs/>
              </w:rPr>
            </w:pPr>
            <w:r w:rsidRPr="0027138D">
              <w:rPr>
                <w:b/>
                <w:iCs/>
              </w:rPr>
              <w:t xml:space="preserve">№ </w:t>
            </w:r>
            <w:proofErr w:type="gramStart"/>
            <w:r w:rsidRPr="0027138D">
              <w:rPr>
                <w:b/>
                <w:iCs/>
              </w:rPr>
              <w:t>п</w:t>
            </w:r>
            <w:proofErr w:type="gramEnd"/>
            <w:r w:rsidRPr="0027138D">
              <w:rPr>
                <w:b/>
                <w:iCs/>
              </w:rPr>
              <w:t>/п</w:t>
            </w:r>
          </w:p>
        </w:tc>
        <w:tc>
          <w:tcPr>
            <w:tcW w:w="6522" w:type="dxa"/>
            <w:shd w:val="clear" w:color="auto" w:fill="auto"/>
          </w:tcPr>
          <w:p w:rsidR="008530EE" w:rsidRPr="0027138D" w:rsidRDefault="008530EE" w:rsidP="00EA49DC">
            <w:pPr>
              <w:spacing w:before="14" w:line="312" w:lineRule="exact"/>
              <w:jc w:val="center"/>
              <w:rPr>
                <w:b/>
                <w:iCs/>
              </w:rPr>
            </w:pPr>
            <w:r w:rsidRPr="0027138D">
              <w:rPr>
                <w:b/>
                <w:iCs/>
              </w:rPr>
              <w:t>Качественные показатели деятельности Учреждения</w:t>
            </w:r>
          </w:p>
        </w:tc>
        <w:tc>
          <w:tcPr>
            <w:tcW w:w="2409" w:type="dxa"/>
            <w:shd w:val="clear" w:color="auto" w:fill="auto"/>
          </w:tcPr>
          <w:p w:rsidR="008530EE" w:rsidRPr="0027138D" w:rsidRDefault="008530EE" w:rsidP="00EA49DC">
            <w:pPr>
              <w:spacing w:before="14" w:line="312" w:lineRule="exact"/>
              <w:jc w:val="center"/>
              <w:rPr>
                <w:b/>
                <w:iCs/>
              </w:rPr>
            </w:pPr>
            <w:r w:rsidRPr="0027138D">
              <w:rPr>
                <w:b/>
                <w:iCs/>
              </w:rPr>
              <w:t>Предельный размер стимулирующих выплат (% от должностного оклада)</w:t>
            </w:r>
          </w:p>
        </w:tc>
      </w:tr>
      <w:tr w:rsidR="008530EE" w:rsidRPr="0027138D" w:rsidTr="007D05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0EE" w:rsidRPr="0027138D" w:rsidRDefault="008530EE" w:rsidP="00EA49DC">
            <w:r w:rsidRPr="0027138D">
              <w:t>1.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EE" w:rsidRPr="0027138D" w:rsidRDefault="008530EE" w:rsidP="00EA49DC">
            <w:r w:rsidRPr="0027138D">
              <w:t>Качественное выполнение  плана мероприятий («дорожной карты»),  при отсутствии фактов нарушения норм трудового законодательства, правил технической и противопожарной безопасности,  требований антитеррористической защищенности: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EE" w:rsidRPr="0027138D" w:rsidRDefault="008530EE" w:rsidP="00EA49DC">
            <w:pPr>
              <w:jc w:val="center"/>
            </w:pPr>
          </w:p>
        </w:tc>
      </w:tr>
      <w:tr w:rsidR="008530EE" w:rsidRPr="0027138D" w:rsidTr="007D05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0EE" w:rsidRPr="0027138D" w:rsidRDefault="008530EE" w:rsidP="00EA49DC"/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EE" w:rsidRPr="0027138D" w:rsidRDefault="008530EE" w:rsidP="00EA49DC">
            <w:r w:rsidRPr="0027138D">
              <w:t>1. Достижение целевых показателей, характеризующих результаты  деятельности учреждения (по плану/фактически):</w:t>
            </w:r>
          </w:p>
          <w:p w:rsidR="008530EE" w:rsidRPr="0027138D" w:rsidRDefault="008530EE" w:rsidP="00EA49DC">
            <w:r w:rsidRPr="0027138D">
              <w:t>1.1. Число проведенных культурно – досуговых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EE" w:rsidRPr="0027138D" w:rsidRDefault="008530EE" w:rsidP="00EA49DC">
            <w:pPr>
              <w:jc w:val="center"/>
            </w:pPr>
          </w:p>
        </w:tc>
      </w:tr>
      <w:tr w:rsidR="008530EE" w:rsidRPr="0027138D" w:rsidTr="007D05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0EE" w:rsidRPr="0027138D" w:rsidRDefault="008530EE" w:rsidP="00EA49DC"/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EE" w:rsidRPr="0027138D" w:rsidRDefault="008530EE" w:rsidP="00EA49DC">
            <w:r w:rsidRPr="0027138D">
              <w:t>- 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EE" w:rsidRPr="0027138D" w:rsidRDefault="008530EE" w:rsidP="00EA49DC">
            <w:pPr>
              <w:jc w:val="center"/>
            </w:pPr>
            <w:r w:rsidRPr="0027138D">
              <w:t>20%</w:t>
            </w:r>
          </w:p>
        </w:tc>
      </w:tr>
      <w:tr w:rsidR="008530EE" w:rsidRPr="0027138D" w:rsidTr="007D05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0EE" w:rsidRPr="0027138D" w:rsidRDefault="008530EE" w:rsidP="00EA49DC"/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EE" w:rsidRPr="0027138D" w:rsidRDefault="008530EE" w:rsidP="00EA49DC">
            <w:r w:rsidRPr="0027138D">
              <w:t>- нет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EE" w:rsidRPr="0027138D" w:rsidRDefault="008530EE" w:rsidP="00EA49DC">
            <w:pPr>
              <w:jc w:val="center"/>
            </w:pPr>
            <w:r w:rsidRPr="0027138D">
              <w:t>0%</w:t>
            </w:r>
          </w:p>
        </w:tc>
      </w:tr>
      <w:tr w:rsidR="008530EE" w:rsidRPr="0027138D" w:rsidTr="007D05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0EE" w:rsidRPr="0027138D" w:rsidRDefault="008530EE" w:rsidP="00EA49DC"/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EE" w:rsidRPr="0027138D" w:rsidRDefault="008530EE" w:rsidP="00EA49DC">
            <w:r w:rsidRPr="0027138D">
              <w:t>1.2. Количество участников культурно-досуговых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EE" w:rsidRPr="0027138D" w:rsidRDefault="008530EE" w:rsidP="00EA49DC">
            <w:pPr>
              <w:jc w:val="center"/>
            </w:pPr>
          </w:p>
        </w:tc>
      </w:tr>
      <w:tr w:rsidR="008530EE" w:rsidRPr="0027138D" w:rsidTr="007D05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0EE" w:rsidRPr="0027138D" w:rsidRDefault="008530EE" w:rsidP="00EA49DC"/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EE" w:rsidRPr="0027138D" w:rsidRDefault="008530EE" w:rsidP="00EA49DC">
            <w:r w:rsidRPr="0027138D">
              <w:t>- 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EE" w:rsidRPr="0027138D" w:rsidRDefault="008530EE" w:rsidP="00EA49DC">
            <w:pPr>
              <w:jc w:val="center"/>
            </w:pPr>
            <w:r w:rsidRPr="0027138D">
              <w:t>20%</w:t>
            </w:r>
          </w:p>
        </w:tc>
      </w:tr>
      <w:tr w:rsidR="008530EE" w:rsidRPr="0027138D" w:rsidTr="007D05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0EE" w:rsidRPr="0027138D" w:rsidRDefault="008530EE" w:rsidP="00EA49DC"/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EE" w:rsidRPr="0027138D" w:rsidRDefault="008530EE" w:rsidP="00EA49DC">
            <w:r w:rsidRPr="0027138D">
              <w:t>- нет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EE" w:rsidRPr="0027138D" w:rsidRDefault="008530EE" w:rsidP="00EA49DC">
            <w:pPr>
              <w:jc w:val="center"/>
            </w:pPr>
            <w:r w:rsidRPr="0027138D">
              <w:t>0%</w:t>
            </w:r>
          </w:p>
        </w:tc>
      </w:tr>
      <w:tr w:rsidR="008530EE" w:rsidRPr="0027138D" w:rsidTr="007D05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0EE" w:rsidRPr="0027138D" w:rsidRDefault="008530EE" w:rsidP="00EA49DC"/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EE" w:rsidRPr="0027138D" w:rsidRDefault="008530EE" w:rsidP="00EA49DC">
            <w:r w:rsidRPr="0027138D">
              <w:rPr>
                <w:lang w:val="en-US"/>
              </w:rPr>
              <w:t xml:space="preserve">1.3.  </w:t>
            </w:r>
            <w:proofErr w:type="spellStart"/>
            <w:r w:rsidRPr="0027138D">
              <w:rPr>
                <w:lang w:val="en-US"/>
              </w:rPr>
              <w:t>Число</w:t>
            </w:r>
            <w:proofErr w:type="spellEnd"/>
            <w:r w:rsidRPr="0027138D">
              <w:rPr>
                <w:lang w:val="en-US"/>
              </w:rPr>
              <w:t xml:space="preserve">  </w:t>
            </w:r>
            <w:proofErr w:type="spellStart"/>
            <w:r w:rsidRPr="0027138D">
              <w:rPr>
                <w:lang w:val="en-US"/>
              </w:rPr>
              <w:t>клубных</w:t>
            </w:r>
            <w:proofErr w:type="spellEnd"/>
            <w:r w:rsidRPr="0027138D">
              <w:rPr>
                <w:lang w:val="en-US"/>
              </w:rPr>
              <w:t xml:space="preserve"> </w:t>
            </w:r>
            <w:proofErr w:type="spellStart"/>
            <w:r w:rsidRPr="0027138D">
              <w:rPr>
                <w:lang w:val="en-US"/>
              </w:rPr>
              <w:t>формирований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EE" w:rsidRPr="0027138D" w:rsidRDefault="008530EE" w:rsidP="00EA49DC">
            <w:pPr>
              <w:jc w:val="center"/>
            </w:pPr>
          </w:p>
        </w:tc>
      </w:tr>
      <w:tr w:rsidR="008530EE" w:rsidRPr="0027138D" w:rsidTr="007D05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0EE" w:rsidRPr="0027138D" w:rsidRDefault="008530EE" w:rsidP="00EA49DC"/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EE" w:rsidRPr="0027138D" w:rsidRDefault="008530EE" w:rsidP="00EA49DC">
            <w:r w:rsidRPr="0027138D">
              <w:t>- 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EE" w:rsidRPr="0027138D" w:rsidRDefault="008530EE" w:rsidP="00EA49DC">
            <w:pPr>
              <w:jc w:val="center"/>
            </w:pPr>
            <w:r w:rsidRPr="0027138D">
              <w:t>20%</w:t>
            </w:r>
          </w:p>
        </w:tc>
      </w:tr>
      <w:tr w:rsidR="008530EE" w:rsidRPr="0027138D" w:rsidTr="007D05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0EE" w:rsidRPr="0027138D" w:rsidRDefault="008530EE" w:rsidP="00EA49DC"/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EE" w:rsidRPr="0027138D" w:rsidRDefault="008530EE" w:rsidP="00EA49DC">
            <w:r w:rsidRPr="0027138D">
              <w:t>- нет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EE" w:rsidRPr="0027138D" w:rsidRDefault="008530EE" w:rsidP="00EA49DC">
            <w:pPr>
              <w:jc w:val="center"/>
            </w:pPr>
            <w:r w:rsidRPr="0027138D">
              <w:t>0%</w:t>
            </w:r>
          </w:p>
        </w:tc>
      </w:tr>
      <w:tr w:rsidR="008530EE" w:rsidRPr="0027138D" w:rsidTr="007D05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0EE" w:rsidRPr="0027138D" w:rsidRDefault="008530EE" w:rsidP="00EA49DC"/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EE" w:rsidRPr="0027138D" w:rsidRDefault="008530EE" w:rsidP="00EA49DC">
            <w:r w:rsidRPr="0027138D">
              <w:rPr>
                <w:lang w:val="en-US"/>
              </w:rPr>
              <w:t xml:space="preserve">1.4. </w:t>
            </w:r>
            <w:proofErr w:type="spellStart"/>
            <w:r w:rsidRPr="0027138D">
              <w:rPr>
                <w:lang w:val="en-US"/>
              </w:rPr>
              <w:t>Количество</w:t>
            </w:r>
            <w:proofErr w:type="spellEnd"/>
            <w:r w:rsidRPr="0027138D">
              <w:rPr>
                <w:lang w:val="en-US"/>
              </w:rPr>
              <w:t xml:space="preserve"> </w:t>
            </w:r>
            <w:proofErr w:type="spellStart"/>
            <w:r w:rsidRPr="0027138D">
              <w:rPr>
                <w:lang w:val="en-US"/>
              </w:rPr>
              <w:t>участников</w:t>
            </w:r>
            <w:proofErr w:type="spellEnd"/>
            <w:r w:rsidRPr="0027138D">
              <w:rPr>
                <w:lang w:val="en-US"/>
              </w:rPr>
              <w:t xml:space="preserve"> </w:t>
            </w:r>
            <w:proofErr w:type="spellStart"/>
            <w:r w:rsidRPr="0027138D">
              <w:rPr>
                <w:lang w:val="en-US"/>
              </w:rPr>
              <w:t>клубных</w:t>
            </w:r>
            <w:proofErr w:type="spellEnd"/>
            <w:r w:rsidRPr="0027138D">
              <w:rPr>
                <w:lang w:val="en-US"/>
              </w:rPr>
              <w:t xml:space="preserve"> </w:t>
            </w:r>
            <w:proofErr w:type="spellStart"/>
            <w:r w:rsidRPr="0027138D">
              <w:rPr>
                <w:lang w:val="en-US"/>
              </w:rPr>
              <w:t>формирований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EE" w:rsidRPr="0027138D" w:rsidRDefault="008530EE" w:rsidP="00EA49DC">
            <w:pPr>
              <w:jc w:val="center"/>
            </w:pPr>
          </w:p>
        </w:tc>
      </w:tr>
      <w:tr w:rsidR="008530EE" w:rsidRPr="0027138D" w:rsidTr="007D05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0EE" w:rsidRPr="0027138D" w:rsidRDefault="008530EE" w:rsidP="00EA49DC"/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EE" w:rsidRPr="0027138D" w:rsidRDefault="008530EE" w:rsidP="00EA49DC">
            <w:r w:rsidRPr="0027138D">
              <w:t>- 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EE" w:rsidRPr="0027138D" w:rsidRDefault="008530EE" w:rsidP="00EA49DC">
            <w:pPr>
              <w:jc w:val="center"/>
            </w:pPr>
            <w:r w:rsidRPr="0027138D">
              <w:t>20%</w:t>
            </w:r>
          </w:p>
        </w:tc>
      </w:tr>
      <w:tr w:rsidR="008530EE" w:rsidRPr="0027138D" w:rsidTr="007D05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0EE" w:rsidRPr="0027138D" w:rsidRDefault="008530EE" w:rsidP="00EA49DC"/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EE" w:rsidRPr="0027138D" w:rsidRDefault="008530EE" w:rsidP="00EA49DC">
            <w:r w:rsidRPr="0027138D">
              <w:t>- нет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EE" w:rsidRPr="0027138D" w:rsidRDefault="008530EE" w:rsidP="00EA49DC">
            <w:pPr>
              <w:jc w:val="center"/>
            </w:pPr>
            <w:r w:rsidRPr="0027138D">
              <w:t>0%</w:t>
            </w:r>
          </w:p>
        </w:tc>
      </w:tr>
      <w:tr w:rsidR="008530EE" w:rsidRPr="0027138D" w:rsidTr="007D05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0EE" w:rsidRPr="0027138D" w:rsidRDefault="008530EE" w:rsidP="00EA49DC"/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EE" w:rsidRPr="0027138D" w:rsidRDefault="008530EE" w:rsidP="00EA49DC">
            <w:r w:rsidRPr="0027138D">
              <w:t xml:space="preserve">1.5. </w:t>
            </w:r>
            <w:proofErr w:type="gramStart"/>
            <w:r w:rsidRPr="0027138D">
              <w:t>Удельный вес работников, прошедших повышение квалификации за последние 5 лет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EE" w:rsidRPr="0027138D" w:rsidRDefault="008530EE" w:rsidP="00EA49DC">
            <w:pPr>
              <w:jc w:val="center"/>
            </w:pPr>
          </w:p>
        </w:tc>
      </w:tr>
      <w:tr w:rsidR="008530EE" w:rsidRPr="0027138D" w:rsidTr="007D05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0EE" w:rsidRPr="0027138D" w:rsidRDefault="008530EE" w:rsidP="00EA49DC"/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EE" w:rsidRPr="0027138D" w:rsidRDefault="008530EE" w:rsidP="00EA49DC">
            <w:r w:rsidRPr="0027138D">
              <w:t>- 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EE" w:rsidRPr="0027138D" w:rsidRDefault="008530EE" w:rsidP="00EA49DC">
            <w:pPr>
              <w:jc w:val="center"/>
            </w:pPr>
            <w:r w:rsidRPr="0027138D">
              <w:t>10%</w:t>
            </w:r>
          </w:p>
        </w:tc>
      </w:tr>
      <w:tr w:rsidR="008530EE" w:rsidRPr="0027138D" w:rsidTr="007D05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0EE" w:rsidRPr="0027138D" w:rsidRDefault="008530EE" w:rsidP="00EA49DC"/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EE" w:rsidRPr="0027138D" w:rsidRDefault="008530EE" w:rsidP="00EA49DC">
            <w:r w:rsidRPr="0027138D">
              <w:t>- нет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EE" w:rsidRPr="0027138D" w:rsidRDefault="008530EE" w:rsidP="00EA49DC">
            <w:pPr>
              <w:jc w:val="center"/>
            </w:pPr>
            <w:r w:rsidRPr="0027138D">
              <w:t>0%</w:t>
            </w:r>
          </w:p>
        </w:tc>
      </w:tr>
      <w:tr w:rsidR="008530EE" w:rsidRPr="0027138D" w:rsidTr="007D05E7">
        <w:tc>
          <w:tcPr>
            <w:tcW w:w="709" w:type="dxa"/>
            <w:vMerge w:val="restart"/>
            <w:shd w:val="clear" w:color="auto" w:fill="auto"/>
          </w:tcPr>
          <w:p w:rsidR="008530EE" w:rsidRPr="0027138D" w:rsidRDefault="008530EE" w:rsidP="00EA49DC">
            <w:pPr>
              <w:spacing w:before="14" w:line="312" w:lineRule="exact"/>
              <w:jc w:val="center"/>
              <w:rPr>
                <w:iCs/>
              </w:rPr>
            </w:pPr>
            <w:r w:rsidRPr="0027138D">
              <w:rPr>
                <w:iCs/>
              </w:rPr>
              <w:t>2.</w:t>
            </w:r>
          </w:p>
        </w:tc>
        <w:tc>
          <w:tcPr>
            <w:tcW w:w="6522" w:type="dxa"/>
            <w:shd w:val="clear" w:color="auto" w:fill="auto"/>
          </w:tcPr>
          <w:p w:rsidR="008530EE" w:rsidRPr="0027138D" w:rsidRDefault="008530EE" w:rsidP="00EA49DC">
            <w:pPr>
              <w:autoSpaceDE w:val="0"/>
              <w:autoSpaceDN w:val="0"/>
              <w:adjustRightInd w:val="0"/>
              <w:ind w:firstLine="34"/>
              <w:jc w:val="both"/>
            </w:pPr>
            <w:r w:rsidRPr="0027138D">
              <w:t>Обеспечение достижения установленного соотношения средней заработной платы работников, повышение оплаты труда которых предусмотрено Указом Президента Российской Федерации от 07.05.2012 № 597 «О мероприятиях по реализации государственной социальной политики», и среднемесячного дохода от трудовой деятельности по Новосибирской области</w:t>
            </w:r>
          </w:p>
        </w:tc>
        <w:tc>
          <w:tcPr>
            <w:tcW w:w="2409" w:type="dxa"/>
            <w:shd w:val="clear" w:color="auto" w:fill="auto"/>
          </w:tcPr>
          <w:p w:rsidR="008530EE" w:rsidRPr="0027138D" w:rsidRDefault="008530EE" w:rsidP="00EA49DC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8530EE" w:rsidRPr="0027138D" w:rsidTr="007D05E7">
        <w:tc>
          <w:tcPr>
            <w:tcW w:w="709" w:type="dxa"/>
            <w:vMerge/>
            <w:shd w:val="clear" w:color="auto" w:fill="auto"/>
          </w:tcPr>
          <w:p w:rsidR="008530EE" w:rsidRPr="0027138D" w:rsidRDefault="008530EE" w:rsidP="00EA49DC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522" w:type="dxa"/>
            <w:shd w:val="clear" w:color="auto" w:fill="auto"/>
            <w:vAlign w:val="center"/>
          </w:tcPr>
          <w:p w:rsidR="008530EE" w:rsidRPr="0027138D" w:rsidRDefault="008530EE" w:rsidP="00EA49DC">
            <w:r w:rsidRPr="0027138D">
              <w:t xml:space="preserve"> - да</w:t>
            </w:r>
          </w:p>
        </w:tc>
        <w:tc>
          <w:tcPr>
            <w:tcW w:w="2409" w:type="dxa"/>
            <w:shd w:val="clear" w:color="auto" w:fill="auto"/>
          </w:tcPr>
          <w:p w:rsidR="008530EE" w:rsidRPr="0027138D" w:rsidRDefault="008530EE" w:rsidP="00EA49DC">
            <w:pPr>
              <w:spacing w:before="14" w:line="312" w:lineRule="exact"/>
              <w:jc w:val="center"/>
              <w:rPr>
                <w:iCs/>
              </w:rPr>
            </w:pPr>
            <w:r w:rsidRPr="0027138D">
              <w:rPr>
                <w:iCs/>
              </w:rPr>
              <w:t>35%</w:t>
            </w:r>
          </w:p>
        </w:tc>
      </w:tr>
      <w:tr w:rsidR="008530EE" w:rsidRPr="0027138D" w:rsidTr="007D05E7">
        <w:tc>
          <w:tcPr>
            <w:tcW w:w="709" w:type="dxa"/>
            <w:vMerge/>
            <w:shd w:val="clear" w:color="auto" w:fill="auto"/>
          </w:tcPr>
          <w:p w:rsidR="008530EE" w:rsidRPr="0027138D" w:rsidRDefault="008530EE" w:rsidP="00EA49DC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522" w:type="dxa"/>
            <w:shd w:val="clear" w:color="auto" w:fill="auto"/>
            <w:vAlign w:val="center"/>
          </w:tcPr>
          <w:p w:rsidR="008530EE" w:rsidRPr="0027138D" w:rsidRDefault="008530EE" w:rsidP="00EA49DC">
            <w:r w:rsidRPr="0027138D">
              <w:t xml:space="preserve"> - нет</w:t>
            </w:r>
          </w:p>
        </w:tc>
        <w:tc>
          <w:tcPr>
            <w:tcW w:w="2409" w:type="dxa"/>
            <w:shd w:val="clear" w:color="auto" w:fill="auto"/>
          </w:tcPr>
          <w:p w:rsidR="008530EE" w:rsidRPr="0027138D" w:rsidRDefault="008530EE" w:rsidP="00EA49DC">
            <w:pPr>
              <w:spacing w:before="14" w:line="312" w:lineRule="exact"/>
              <w:jc w:val="center"/>
              <w:rPr>
                <w:iCs/>
              </w:rPr>
            </w:pPr>
            <w:r w:rsidRPr="0027138D">
              <w:rPr>
                <w:iCs/>
              </w:rPr>
              <w:t>0%</w:t>
            </w:r>
          </w:p>
        </w:tc>
      </w:tr>
      <w:tr w:rsidR="008530EE" w:rsidRPr="0027138D" w:rsidTr="007D05E7">
        <w:tc>
          <w:tcPr>
            <w:tcW w:w="709" w:type="dxa"/>
            <w:vMerge w:val="restart"/>
            <w:shd w:val="clear" w:color="auto" w:fill="auto"/>
          </w:tcPr>
          <w:p w:rsidR="008530EE" w:rsidRPr="0027138D" w:rsidRDefault="008530EE" w:rsidP="00EA49DC">
            <w:pPr>
              <w:spacing w:before="14" w:line="312" w:lineRule="exact"/>
              <w:jc w:val="center"/>
              <w:rPr>
                <w:iCs/>
              </w:rPr>
            </w:pPr>
            <w:r w:rsidRPr="0027138D">
              <w:rPr>
                <w:iCs/>
              </w:rPr>
              <w:t>3.</w:t>
            </w:r>
          </w:p>
        </w:tc>
        <w:tc>
          <w:tcPr>
            <w:tcW w:w="6522" w:type="dxa"/>
            <w:shd w:val="clear" w:color="auto" w:fill="auto"/>
            <w:vAlign w:val="center"/>
          </w:tcPr>
          <w:p w:rsidR="008530EE" w:rsidRPr="0027138D" w:rsidRDefault="008530EE" w:rsidP="00EA49DC">
            <w:pPr>
              <w:jc w:val="both"/>
            </w:pPr>
            <w:r w:rsidRPr="0027138D">
              <w:t xml:space="preserve">Обеспечение открытости и доступности информации об Учреждении и предоставлении услуг на официальном интернет-сайте </w:t>
            </w:r>
            <w:hyperlink r:id="rId5" w:history="1">
              <w:r w:rsidRPr="0027138D">
                <w:rPr>
                  <w:rStyle w:val="ab"/>
                  <w:lang w:val="en-US"/>
                </w:rPr>
                <w:t>www</w:t>
              </w:r>
              <w:r w:rsidRPr="0027138D">
                <w:rPr>
                  <w:rStyle w:val="ab"/>
                </w:rPr>
                <w:t>.</w:t>
              </w:r>
              <w:r w:rsidRPr="0027138D">
                <w:rPr>
                  <w:rStyle w:val="ab"/>
                  <w:lang w:val="en-US"/>
                </w:rPr>
                <w:t>bus</w:t>
              </w:r>
              <w:r w:rsidRPr="0027138D">
                <w:rPr>
                  <w:rStyle w:val="ab"/>
                </w:rPr>
                <w:t>.</w:t>
              </w:r>
              <w:proofErr w:type="spellStart"/>
              <w:r w:rsidRPr="0027138D">
                <w:rPr>
                  <w:rStyle w:val="ab"/>
                  <w:lang w:val="en-US"/>
                </w:rPr>
                <w:t>gov</w:t>
              </w:r>
              <w:proofErr w:type="spellEnd"/>
              <w:r w:rsidRPr="0027138D">
                <w:rPr>
                  <w:rStyle w:val="ab"/>
                </w:rPr>
                <w:t>.</w:t>
              </w:r>
              <w:proofErr w:type="spellStart"/>
              <w:r w:rsidRPr="0027138D">
                <w:rPr>
                  <w:rStyle w:val="ab"/>
                  <w:lang w:val="en-US"/>
                </w:rPr>
                <w:t>ru</w:t>
              </w:r>
              <w:proofErr w:type="spellEnd"/>
            </w:hyperlink>
            <w:r w:rsidRPr="0027138D">
              <w:t xml:space="preserve"> в соответствии с  действующим законодательством РФ, нормативно правовыми актами министерства культуры Российской Федерации и Новосибирской области, на сайте Учреждения</w:t>
            </w:r>
          </w:p>
        </w:tc>
        <w:tc>
          <w:tcPr>
            <w:tcW w:w="2409" w:type="dxa"/>
            <w:shd w:val="clear" w:color="auto" w:fill="auto"/>
          </w:tcPr>
          <w:p w:rsidR="008530EE" w:rsidRPr="0027138D" w:rsidRDefault="008530EE" w:rsidP="00EA49DC">
            <w:pPr>
              <w:spacing w:before="14" w:line="312" w:lineRule="exact"/>
              <w:jc w:val="center"/>
              <w:rPr>
                <w:iCs/>
              </w:rPr>
            </w:pPr>
          </w:p>
        </w:tc>
      </w:tr>
      <w:tr w:rsidR="008530EE" w:rsidRPr="0027138D" w:rsidTr="007D05E7">
        <w:tc>
          <w:tcPr>
            <w:tcW w:w="709" w:type="dxa"/>
            <w:vMerge/>
            <w:shd w:val="clear" w:color="auto" w:fill="auto"/>
          </w:tcPr>
          <w:p w:rsidR="008530EE" w:rsidRPr="0027138D" w:rsidRDefault="008530EE" w:rsidP="00EA49DC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522" w:type="dxa"/>
            <w:shd w:val="clear" w:color="auto" w:fill="auto"/>
            <w:vAlign w:val="center"/>
          </w:tcPr>
          <w:p w:rsidR="008530EE" w:rsidRPr="0027138D" w:rsidRDefault="008530EE" w:rsidP="00EA49DC">
            <w:r w:rsidRPr="0027138D">
              <w:t xml:space="preserve"> - да</w:t>
            </w:r>
          </w:p>
        </w:tc>
        <w:tc>
          <w:tcPr>
            <w:tcW w:w="2409" w:type="dxa"/>
            <w:shd w:val="clear" w:color="auto" w:fill="auto"/>
          </w:tcPr>
          <w:p w:rsidR="008530EE" w:rsidRPr="0027138D" w:rsidRDefault="008530EE" w:rsidP="00EA49DC">
            <w:pPr>
              <w:spacing w:before="14" w:line="312" w:lineRule="exact"/>
              <w:jc w:val="center"/>
              <w:rPr>
                <w:iCs/>
              </w:rPr>
            </w:pPr>
            <w:r w:rsidRPr="0027138D">
              <w:rPr>
                <w:iCs/>
              </w:rPr>
              <w:t>10%</w:t>
            </w:r>
          </w:p>
        </w:tc>
      </w:tr>
      <w:tr w:rsidR="008530EE" w:rsidRPr="0027138D" w:rsidTr="007D05E7">
        <w:tc>
          <w:tcPr>
            <w:tcW w:w="709" w:type="dxa"/>
            <w:vMerge/>
            <w:shd w:val="clear" w:color="auto" w:fill="auto"/>
          </w:tcPr>
          <w:p w:rsidR="008530EE" w:rsidRPr="0027138D" w:rsidRDefault="008530EE" w:rsidP="00EA49DC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522" w:type="dxa"/>
            <w:shd w:val="clear" w:color="auto" w:fill="auto"/>
            <w:vAlign w:val="center"/>
          </w:tcPr>
          <w:p w:rsidR="008530EE" w:rsidRPr="0027138D" w:rsidRDefault="008530EE" w:rsidP="00EA49DC">
            <w:r w:rsidRPr="0027138D">
              <w:t xml:space="preserve"> - нет</w:t>
            </w:r>
          </w:p>
        </w:tc>
        <w:tc>
          <w:tcPr>
            <w:tcW w:w="2409" w:type="dxa"/>
            <w:shd w:val="clear" w:color="auto" w:fill="auto"/>
          </w:tcPr>
          <w:p w:rsidR="008530EE" w:rsidRPr="0027138D" w:rsidRDefault="008530EE" w:rsidP="00EA49DC">
            <w:pPr>
              <w:spacing w:before="14" w:line="312" w:lineRule="exact"/>
              <w:jc w:val="center"/>
              <w:rPr>
                <w:iCs/>
              </w:rPr>
            </w:pPr>
            <w:r w:rsidRPr="0027138D">
              <w:rPr>
                <w:iCs/>
              </w:rPr>
              <w:t>0%</w:t>
            </w:r>
          </w:p>
        </w:tc>
      </w:tr>
      <w:tr w:rsidR="008530EE" w:rsidRPr="0027138D" w:rsidTr="007D05E7">
        <w:tc>
          <w:tcPr>
            <w:tcW w:w="709" w:type="dxa"/>
            <w:vMerge w:val="restart"/>
            <w:shd w:val="clear" w:color="auto" w:fill="auto"/>
          </w:tcPr>
          <w:p w:rsidR="008530EE" w:rsidRPr="0027138D" w:rsidRDefault="008530EE" w:rsidP="00EA49DC">
            <w:pPr>
              <w:spacing w:before="14" w:line="312" w:lineRule="exact"/>
              <w:jc w:val="center"/>
              <w:rPr>
                <w:iCs/>
              </w:rPr>
            </w:pPr>
            <w:r w:rsidRPr="0027138D">
              <w:rPr>
                <w:iCs/>
              </w:rPr>
              <w:t>4.</w:t>
            </w:r>
          </w:p>
        </w:tc>
        <w:tc>
          <w:tcPr>
            <w:tcW w:w="6522" w:type="dxa"/>
            <w:shd w:val="clear" w:color="auto" w:fill="auto"/>
          </w:tcPr>
          <w:p w:rsidR="008530EE" w:rsidRPr="0027138D" w:rsidRDefault="008530EE" w:rsidP="00EA49DC">
            <w:pPr>
              <w:autoSpaceDE w:val="0"/>
              <w:autoSpaceDN w:val="0"/>
              <w:adjustRightInd w:val="0"/>
              <w:jc w:val="both"/>
            </w:pPr>
            <w:r w:rsidRPr="0027138D">
              <w:t>Обеспечение выполнения целевых показателей посещений культурных мероприятий, установленных приказом министерства культуры Новосибирской области от 27.11.2020 № 344 во исполнение Указа Президента Российской Федерации от 21.07.2020 № 474 «О национальных целях развития Российской Федерации на период до 2030 года»</w:t>
            </w:r>
          </w:p>
        </w:tc>
        <w:tc>
          <w:tcPr>
            <w:tcW w:w="2409" w:type="dxa"/>
            <w:shd w:val="clear" w:color="auto" w:fill="auto"/>
          </w:tcPr>
          <w:p w:rsidR="008530EE" w:rsidRPr="0027138D" w:rsidRDefault="008530EE" w:rsidP="00EA49DC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8530EE" w:rsidRPr="0027138D" w:rsidTr="007D05E7">
        <w:tc>
          <w:tcPr>
            <w:tcW w:w="709" w:type="dxa"/>
            <w:vMerge/>
            <w:shd w:val="clear" w:color="auto" w:fill="auto"/>
          </w:tcPr>
          <w:p w:rsidR="008530EE" w:rsidRPr="0027138D" w:rsidRDefault="008530EE" w:rsidP="00EA49DC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522" w:type="dxa"/>
            <w:shd w:val="clear" w:color="auto" w:fill="auto"/>
            <w:vAlign w:val="center"/>
          </w:tcPr>
          <w:p w:rsidR="008530EE" w:rsidRPr="0027138D" w:rsidRDefault="008530EE" w:rsidP="00EA49DC">
            <w:r w:rsidRPr="0027138D">
              <w:t xml:space="preserve"> - да</w:t>
            </w:r>
          </w:p>
        </w:tc>
        <w:tc>
          <w:tcPr>
            <w:tcW w:w="2409" w:type="dxa"/>
            <w:shd w:val="clear" w:color="auto" w:fill="auto"/>
          </w:tcPr>
          <w:p w:rsidR="008530EE" w:rsidRPr="0027138D" w:rsidRDefault="008530EE" w:rsidP="00EA49DC">
            <w:pPr>
              <w:spacing w:before="14" w:line="312" w:lineRule="exact"/>
              <w:jc w:val="center"/>
              <w:rPr>
                <w:iCs/>
              </w:rPr>
            </w:pPr>
            <w:r w:rsidRPr="0027138D">
              <w:rPr>
                <w:iCs/>
              </w:rPr>
              <w:t>30%</w:t>
            </w:r>
          </w:p>
        </w:tc>
      </w:tr>
      <w:tr w:rsidR="008530EE" w:rsidRPr="0027138D" w:rsidTr="007D05E7">
        <w:tc>
          <w:tcPr>
            <w:tcW w:w="709" w:type="dxa"/>
            <w:vMerge/>
            <w:shd w:val="clear" w:color="auto" w:fill="auto"/>
          </w:tcPr>
          <w:p w:rsidR="008530EE" w:rsidRPr="0027138D" w:rsidRDefault="008530EE" w:rsidP="00EA49DC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522" w:type="dxa"/>
            <w:shd w:val="clear" w:color="auto" w:fill="auto"/>
            <w:vAlign w:val="center"/>
          </w:tcPr>
          <w:p w:rsidR="008530EE" w:rsidRPr="0027138D" w:rsidRDefault="008530EE" w:rsidP="00EA49DC">
            <w:r w:rsidRPr="0027138D">
              <w:t xml:space="preserve"> - нет</w:t>
            </w:r>
          </w:p>
        </w:tc>
        <w:tc>
          <w:tcPr>
            <w:tcW w:w="2409" w:type="dxa"/>
            <w:shd w:val="clear" w:color="auto" w:fill="auto"/>
          </w:tcPr>
          <w:p w:rsidR="008530EE" w:rsidRPr="0027138D" w:rsidRDefault="008530EE" w:rsidP="00EA49DC">
            <w:pPr>
              <w:spacing w:before="14" w:line="312" w:lineRule="exact"/>
              <w:jc w:val="center"/>
              <w:rPr>
                <w:iCs/>
              </w:rPr>
            </w:pPr>
            <w:r w:rsidRPr="0027138D">
              <w:rPr>
                <w:iCs/>
              </w:rPr>
              <w:t>0%</w:t>
            </w:r>
          </w:p>
        </w:tc>
      </w:tr>
      <w:tr w:rsidR="008530EE" w:rsidRPr="0027138D" w:rsidTr="007D05E7">
        <w:tc>
          <w:tcPr>
            <w:tcW w:w="709" w:type="dxa"/>
            <w:vMerge w:val="restart"/>
            <w:shd w:val="clear" w:color="auto" w:fill="auto"/>
          </w:tcPr>
          <w:p w:rsidR="008530EE" w:rsidRPr="0027138D" w:rsidRDefault="008530EE" w:rsidP="00EA49DC">
            <w:pPr>
              <w:spacing w:before="14" w:line="312" w:lineRule="exact"/>
              <w:jc w:val="center"/>
              <w:rPr>
                <w:iCs/>
              </w:rPr>
            </w:pPr>
            <w:r w:rsidRPr="0027138D">
              <w:rPr>
                <w:iCs/>
              </w:rPr>
              <w:t>5.</w:t>
            </w:r>
          </w:p>
        </w:tc>
        <w:tc>
          <w:tcPr>
            <w:tcW w:w="6522" w:type="dxa"/>
            <w:shd w:val="clear" w:color="auto" w:fill="auto"/>
          </w:tcPr>
          <w:p w:rsidR="008530EE" w:rsidRPr="0027138D" w:rsidRDefault="008530EE" w:rsidP="00EA49DC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27138D">
              <w:t>Участие Учреждения в социально-значимых (общественных, творческих, образовательных, научных) проектах,</w:t>
            </w:r>
            <w:r w:rsidR="007D05E7" w:rsidRPr="0027138D">
              <w:t xml:space="preserve"> программах, фестивалях</w:t>
            </w:r>
            <w:r w:rsidRPr="0027138D">
              <w:t xml:space="preserve">, акциях и других мероприятиях 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8530EE" w:rsidRPr="0027138D" w:rsidRDefault="008530EE" w:rsidP="00EA49DC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8530EE" w:rsidRPr="0027138D" w:rsidTr="007D05E7">
        <w:tc>
          <w:tcPr>
            <w:tcW w:w="709" w:type="dxa"/>
            <w:vMerge/>
            <w:shd w:val="clear" w:color="auto" w:fill="auto"/>
          </w:tcPr>
          <w:p w:rsidR="008530EE" w:rsidRPr="0027138D" w:rsidRDefault="008530EE" w:rsidP="00EA49DC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EE" w:rsidRPr="0027138D" w:rsidRDefault="008530EE" w:rsidP="00EA49DC">
            <w:pPr>
              <w:rPr>
                <w:color w:val="000000"/>
              </w:rPr>
            </w:pPr>
            <w:r w:rsidRPr="0027138D">
              <w:rPr>
                <w:color w:val="000000"/>
              </w:rPr>
              <w:t xml:space="preserve"> - всероссийского и международного уровней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EE" w:rsidRPr="0027138D" w:rsidRDefault="008530EE" w:rsidP="00EA49DC">
            <w:pPr>
              <w:jc w:val="center"/>
            </w:pPr>
            <w:r w:rsidRPr="0027138D">
              <w:rPr>
                <w:iCs/>
              </w:rPr>
              <w:t>15%</w:t>
            </w:r>
          </w:p>
        </w:tc>
      </w:tr>
      <w:tr w:rsidR="008530EE" w:rsidRPr="0027138D" w:rsidTr="007D05E7">
        <w:tc>
          <w:tcPr>
            <w:tcW w:w="709" w:type="dxa"/>
            <w:vMerge/>
            <w:shd w:val="clear" w:color="auto" w:fill="auto"/>
          </w:tcPr>
          <w:p w:rsidR="008530EE" w:rsidRPr="0027138D" w:rsidRDefault="008530EE" w:rsidP="00EA49DC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EE" w:rsidRPr="0027138D" w:rsidRDefault="008530EE" w:rsidP="00EA49DC">
            <w:pPr>
              <w:rPr>
                <w:color w:val="000000"/>
              </w:rPr>
            </w:pPr>
            <w:r w:rsidRPr="0027138D">
              <w:rPr>
                <w:color w:val="000000"/>
              </w:rPr>
              <w:t>- межрегионального уровня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EE" w:rsidRPr="0027138D" w:rsidRDefault="008530EE" w:rsidP="00EA49DC">
            <w:pPr>
              <w:jc w:val="center"/>
            </w:pPr>
            <w:r w:rsidRPr="0027138D">
              <w:rPr>
                <w:iCs/>
              </w:rPr>
              <w:t>10%</w:t>
            </w:r>
          </w:p>
        </w:tc>
      </w:tr>
      <w:tr w:rsidR="008530EE" w:rsidRPr="0027138D" w:rsidTr="007D05E7">
        <w:tc>
          <w:tcPr>
            <w:tcW w:w="709" w:type="dxa"/>
            <w:vMerge/>
            <w:shd w:val="clear" w:color="auto" w:fill="auto"/>
          </w:tcPr>
          <w:p w:rsidR="008530EE" w:rsidRPr="0027138D" w:rsidRDefault="008530EE" w:rsidP="00EA49DC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EE" w:rsidRPr="0027138D" w:rsidRDefault="008530EE" w:rsidP="00EA49DC">
            <w:pPr>
              <w:rPr>
                <w:color w:val="000000"/>
              </w:rPr>
            </w:pPr>
            <w:r w:rsidRPr="0027138D">
              <w:rPr>
                <w:color w:val="000000"/>
              </w:rPr>
              <w:t>- областного уровня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EE" w:rsidRPr="0027138D" w:rsidRDefault="008530EE" w:rsidP="00EA49DC">
            <w:pPr>
              <w:jc w:val="center"/>
            </w:pPr>
            <w:r w:rsidRPr="0027138D">
              <w:rPr>
                <w:iCs/>
              </w:rPr>
              <w:t>5%</w:t>
            </w:r>
          </w:p>
        </w:tc>
      </w:tr>
      <w:tr w:rsidR="008530EE" w:rsidRPr="0027138D" w:rsidTr="007D05E7">
        <w:trPr>
          <w:trHeight w:val="474"/>
        </w:trPr>
        <w:tc>
          <w:tcPr>
            <w:tcW w:w="709" w:type="dxa"/>
            <w:vMerge/>
            <w:shd w:val="clear" w:color="auto" w:fill="auto"/>
          </w:tcPr>
          <w:p w:rsidR="008530EE" w:rsidRPr="0027138D" w:rsidRDefault="008530EE" w:rsidP="00EA49DC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EE" w:rsidRPr="0027138D" w:rsidRDefault="008530EE" w:rsidP="00EA49DC">
            <w:pPr>
              <w:rPr>
                <w:color w:val="000000"/>
              </w:rPr>
            </w:pPr>
            <w:r w:rsidRPr="0027138D">
              <w:rPr>
                <w:color w:val="000000"/>
              </w:rPr>
              <w:t xml:space="preserve"> - нет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EE" w:rsidRPr="0027138D" w:rsidRDefault="008530EE" w:rsidP="00EA49DC">
            <w:pPr>
              <w:jc w:val="center"/>
            </w:pPr>
            <w:r w:rsidRPr="0027138D">
              <w:rPr>
                <w:iCs/>
              </w:rPr>
              <w:t>0</w:t>
            </w:r>
          </w:p>
        </w:tc>
      </w:tr>
      <w:tr w:rsidR="008530EE" w:rsidRPr="0027138D" w:rsidTr="007D05E7">
        <w:tc>
          <w:tcPr>
            <w:tcW w:w="709" w:type="dxa"/>
            <w:vMerge w:val="restart"/>
            <w:shd w:val="clear" w:color="auto" w:fill="auto"/>
          </w:tcPr>
          <w:p w:rsidR="008530EE" w:rsidRPr="0027138D" w:rsidRDefault="008530EE" w:rsidP="00EA49DC">
            <w:pPr>
              <w:spacing w:before="14" w:line="312" w:lineRule="exact"/>
              <w:jc w:val="center"/>
              <w:rPr>
                <w:iCs/>
              </w:rPr>
            </w:pPr>
            <w:r w:rsidRPr="0027138D">
              <w:rPr>
                <w:iCs/>
              </w:rPr>
              <w:t>6.</w:t>
            </w:r>
          </w:p>
        </w:tc>
        <w:tc>
          <w:tcPr>
            <w:tcW w:w="6522" w:type="dxa"/>
            <w:shd w:val="clear" w:color="auto" w:fill="auto"/>
            <w:vAlign w:val="center"/>
          </w:tcPr>
          <w:p w:rsidR="008530EE" w:rsidRPr="0027138D" w:rsidRDefault="008530EE" w:rsidP="00EA49DC">
            <w:pPr>
              <w:jc w:val="both"/>
            </w:pPr>
            <w:r w:rsidRPr="0027138D">
              <w:t>Отсутствие документально установленных фактов нарушений финансовой и (или) хозяйственной деятельности учреждения, просроченной дебиторской и (или) кредиторской задолженности</w:t>
            </w:r>
          </w:p>
        </w:tc>
        <w:tc>
          <w:tcPr>
            <w:tcW w:w="2409" w:type="dxa"/>
            <w:shd w:val="clear" w:color="auto" w:fill="auto"/>
          </w:tcPr>
          <w:p w:rsidR="008530EE" w:rsidRPr="0027138D" w:rsidRDefault="008530EE" w:rsidP="00EA49DC">
            <w:pPr>
              <w:spacing w:before="14" w:line="312" w:lineRule="exact"/>
              <w:jc w:val="center"/>
              <w:rPr>
                <w:iCs/>
              </w:rPr>
            </w:pPr>
          </w:p>
        </w:tc>
      </w:tr>
      <w:tr w:rsidR="008530EE" w:rsidRPr="0027138D" w:rsidTr="007D05E7">
        <w:tc>
          <w:tcPr>
            <w:tcW w:w="709" w:type="dxa"/>
            <w:vMerge/>
            <w:shd w:val="clear" w:color="auto" w:fill="auto"/>
          </w:tcPr>
          <w:p w:rsidR="008530EE" w:rsidRPr="0027138D" w:rsidRDefault="008530EE" w:rsidP="00EA49DC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522" w:type="dxa"/>
            <w:shd w:val="clear" w:color="auto" w:fill="auto"/>
            <w:vAlign w:val="center"/>
          </w:tcPr>
          <w:p w:rsidR="008530EE" w:rsidRPr="0027138D" w:rsidRDefault="008530EE" w:rsidP="00EA49DC">
            <w:r w:rsidRPr="0027138D">
              <w:t xml:space="preserve"> - да</w:t>
            </w:r>
          </w:p>
        </w:tc>
        <w:tc>
          <w:tcPr>
            <w:tcW w:w="2409" w:type="dxa"/>
            <w:shd w:val="clear" w:color="auto" w:fill="auto"/>
          </w:tcPr>
          <w:p w:rsidR="008530EE" w:rsidRPr="0027138D" w:rsidRDefault="008530EE" w:rsidP="00EA49DC">
            <w:pPr>
              <w:spacing w:before="14" w:line="312" w:lineRule="exact"/>
              <w:jc w:val="center"/>
              <w:rPr>
                <w:iCs/>
              </w:rPr>
            </w:pPr>
            <w:r w:rsidRPr="0027138D">
              <w:rPr>
                <w:iCs/>
              </w:rPr>
              <w:t>10%</w:t>
            </w:r>
          </w:p>
        </w:tc>
      </w:tr>
      <w:tr w:rsidR="008530EE" w:rsidRPr="0027138D" w:rsidTr="007D05E7">
        <w:tc>
          <w:tcPr>
            <w:tcW w:w="709" w:type="dxa"/>
            <w:vMerge/>
            <w:shd w:val="clear" w:color="auto" w:fill="auto"/>
          </w:tcPr>
          <w:p w:rsidR="008530EE" w:rsidRPr="0027138D" w:rsidRDefault="008530EE" w:rsidP="00EA49DC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522" w:type="dxa"/>
            <w:shd w:val="clear" w:color="auto" w:fill="auto"/>
            <w:vAlign w:val="center"/>
          </w:tcPr>
          <w:p w:rsidR="008530EE" w:rsidRPr="0027138D" w:rsidRDefault="008530EE" w:rsidP="00EA49DC">
            <w:r w:rsidRPr="0027138D">
              <w:t xml:space="preserve"> - нет</w:t>
            </w:r>
          </w:p>
        </w:tc>
        <w:tc>
          <w:tcPr>
            <w:tcW w:w="2409" w:type="dxa"/>
            <w:shd w:val="clear" w:color="auto" w:fill="auto"/>
          </w:tcPr>
          <w:p w:rsidR="008530EE" w:rsidRPr="0027138D" w:rsidRDefault="008530EE" w:rsidP="00EA49DC">
            <w:pPr>
              <w:spacing w:before="14" w:line="312" w:lineRule="exact"/>
              <w:jc w:val="center"/>
              <w:rPr>
                <w:iCs/>
              </w:rPr>
            </w:pPr>
            <w:r w:rsidRPr="0027138D">
              <w:rPr>
                <w:iCs/>
              </w:rPr>
              <w:t>0%</w:t>
            </w:r>
          </w:p>
        </w:tc>
      </w:tr>
      <w:tr w:rsidR="008530EE" w:rsidRPr="0027138D" w:rsidTr="007D05E7">
        <w:tc>
          <w:tcPr>
            <w:tcW w:w="709" w:type="dxa"/>
            <w:vMerge w:val="restart"/>
            <w:shd w:val="clear" w:color="auto" w:fill="auto"/>
          </w:tcPr>
          <w:p w:rsidR="008530EE" w:rsidRPr="0027138D" w:rsidRDefault="008530EE" w:rsidP="00EA49D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7138D">
              <w:rPr>
                <w:iCs/>
              </w:rPr>
              <w:t>7.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EE" w:rsidRPr="0027138D" w:rsidRDefault="008530EE" w:rsidP="00EA49DC">
            <w:pPr>
              <w:rPr>
                <w:bCs/>
              </w:rPr>
            </w:pPr>
            <w:r w:rsidRPr="0027138D">
              <w:rPr>
                <w:bCs/>
              </w:rPr>
              <w:t>Наличие у Учреждения филиалов (обособленных структурных подразделений*)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EE" w:rsidRPr="0027138D" w:rsidRDefault="008530EE" w:rsidP="00EA49DC">
            <w:pPr>
              <w:jc w:val="center"/>
            </w:pPr>
            <w:r w:rsidRPr="0027138D">
              <w:t> </w:t>
            </w:r>
          </w:p>
        </w:tc>
      </w:tr>
      <w:tr w:rsidR="008530EE" w:rsidRPr="0027138D" w:rsidTr="007D05E7">
        <w:tc>
          <w:tcPr>
            <w:tcW w:w="709" w:type="dxa"/>
            <w:vMerge/>
            <w:shd w:val="clear" w:color="auto" w:fill="auto"/>
          </w:tcPr>
          <w:p w:rsidR="008530EE" w:rsidRPr="0027138D" w:rsidRDefault="008530EE" w:rsidP="00EA49DC">
            <w:pPr>
              <w:autoSpaceDE w:val="0"/>
              <w:autoSpaceDN w:val="0"/>
              <w:adjustRightInd w:val="0"/>
              <w:ind w:firstLine="709"/>
              <w:jc w:val="center"/>
              <w:rPr>
                <w:iCs/>
              </w:rPr>
            </w:pPr>
          </w:p>
        </w:tc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EE" w:rsidRPr="0027138D" w:rsidRDefault="008530EE" w:rsidP="00EA49DC">
            <w:r w:rsidRPr="0027138D">
              <w:t xml:space="preserve"> - 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EE" w:rsidRPr="0027138D" w:rsidRDefault="008530EE" w:rsidP="00EA49DC">
            <w:pPr>
              <w:jc w:val="center"/>
            </w:pPr>
            <w:r w:rsidRPr="0027138D">
              <w:t>20%</w:t>
            </w:r>
          </w:p>
        </w:tc>
      </w:tr>
      <w:tr w:rsidR="008530EE" w:rsidRPr="0027138D" w:rsidTr="007D05E7">
        <w:tc>
          <w:tcPr>
            <w:tcW w:w="709" w:type="dxa"/>
            <w:vMerge/>
            <w:shd w:val="clear" w:color="auto" w:fill="auto"/>
          </w:tcPr>
          <w:p w:rsidR="008530EE" w:rsidRPr="0027138D" w:rsidRDefault="008530EE" w:rsidP="00EA49DC">
            <w:pPr>
              <w:autoSpaceDE w:val="0"/>
              <w:autoSpaceDN w:val="0"/>
              <w:adjustRightInd w:val="0"/>
              <w:ind w:firstLine="709"/>
              <w:jc w:val="center"/>
              <w:rPr>
                <w:iCs/>
              </w:rPr>
            </w:pPr>
          </w:p>
        </w:tc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EE" w:rsidRPr="0027138D" w:rsidRDefault="008530EE" w:rsidP="00EA49DC">
            <w:r w:rsidRPr="0027138D">
              <w:t xml:space="preserve"> - нет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EE" w:rsidRPr="0027138D" w:rsidRDefault="008530EE" w:rsidP="00EA49DC">
            <w:pPr>
              <w:jc w:val="center"/>
            </w:pPr>
            <w:r w:rsidRPr="0027138D">
              <w:t>0%</w:t>
            </w:r>
          </w:p>
        </w:tc>
      </w:tr>
      <w:tr w:rsidR="008530EE" w:rsidRPr="0027138D" w:rsidTr="007D05E7">
        <w:tc>
          <w:tcPr>
            <w:tcW w:w="709" w:type="dxa"/>
            <w:shd w:val="clear" w:color="auto" w:fill="auto"/>
          </w:tcPr>
          <w:p w:rsidR="008530EE" w:rsidRPr="0027138D" w:rsidRDefault="008530EE" w:rsidP="00EA49DC">
            <w:pPr>
              <w:jc w:val="center"/>
            </w:pPr>
            <w:r w:rsidRPr="0027138D">
              <w:t>8.</w:t>
            </w:r>
          </w:p>
        </w:tc>
        <w:tc>
          <w:tcPr>
            <w:tcW w:w="6522" w:type="dxa"/>
            <w:shd w:val="clear" w:color="auto" w:fill="auto"/>
            <w:vAlign w:val="center"/>
          </w:tcPr>
          <w:p w:rsidR="008530EE" w:rsidRPr="0027138D" w:rsidRDefault="008530EE" w:rsidP="00EA49DC">
            <w:pPr>
              <w:autoSpaceDE w:val="0"/>
              <w:autoSpaceDN w:val="0"/>
              <w:adjustRightInd w:val="0"/>
              <w:ind w:firstLine="17"/>
              <w:jc w:val="both"/>
            </w:pPr>
            <w:r w:rsidRPr="0027138D">
              <w:t xml:space="preserve">Развитие предпринимательской и иной приносящей доход деятельности (доходы от оказания платных услуг (работ) за отчетный год) **, </w:t>
            </w:r>
            <w:r w:rsidRPr="0027138D">
              <w:rPr>
                <w:i/>
              </w:rPr>
              <w:t>тыс. руб.:</w:t>
            </w:r>
          </w:p>
        </w:tc>
        <w:tc>
          <w:tcPr>
            <w:tcW w:w="2409" w:type="dxa"/>
            <w:shd w:val="clear" w:color="auto" w:fill="auto"/>
          </w:tcPr>
          <w:p w:rsidR="008530EE" w:rsidRPr="0027138D" w:rsidRDefault="008530EE" w:rsidP="00EA49DC">
            <w:pPr>
              <w:autoSpaceDE w:val="0"/>
              <w:autoSpaceDN w:val="0"/>
              <w:adjustRightInd w:val="0"/>
              <w:ind w:firstLine="709"/>
              <w:jc w:val="both"/>
              <w:rPr>
                <w:iCs/>
              </w:rPr>
            </w:pPr>
          </w:p>
        </w:tc>
      </w:tr>
      <w:tr w:rsidR="008530EE" w:rsidRPr="0027138D" w:rsidTr="007D05E7">
        <w:tc>
          <w:tcPr>
            <w:tcW w:w="709" w:type="dxa"/>
            <w:shd w:val="clear" w:color="auto" w:fill="auto"/>
          </w:tcPr>
          <w:p w:rsidR="008530EE" w:rsidRPr="0027138D" w:rsidRDefault="008530EE" w:rsidP="00EA49DC">
            <w:pPr>
              <w:autoSpaceDE w:val="0"/>
              <w:autoSpaceDN w:val="0"/>
              <w:adjustRightInd w:val="0"/>
              <w:ind w:firstLine="709"/>
              <w:jc w:val="both"/>
              <w:rPr>
                <w:iCs/>
              </w:rPr>
            </w:pPr>
          </w:p>
        </w:tc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EE" w:rsidRPr="0027138D" w:rsidRDefault="008530EE" w:rsidP="00EA49DC">
            <w:r w:rsidRPr="0027138D">
              <w:t xml:space="preserve">от 4 500,0 до 6 000,0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EE" w:rsidRPr="0027138D" w:rsidRDefault="008530EE" w:rsidP="00EA49DC">
            <w:pPr>
              <w:jc w:val="center"/>
            </w:pPr>
            <w:r w:rsidRPr="0027138D">
              <w:t>30%</w:t>
            </w:r>
          </w:p>
        </w:tc>
      </w:tr>
      <w:tr w:rsidR="008530EE" w:rsidRPr="0027138D" w:rsidTr="007D05E7">
        <w:tc>
          <w:tcPr>
            <w:tcW w:w="709" w:type="dxa"/>
            <w:shd w:val="clear" w:color="auto" w:fill="auto"/>
          </w:tcPr>
          <w:p w:rsidR="008530EE" w:rsidRPr="0027138D" w:rsidRDefault="008530EE" w:rsidP="00EA49DC">
            <w:pPr>
              <w:autoSpaceDE w:val="0"/>
              <w:autoSpaceDN w:val="0"/>
              <w:adjustRightInd w:val="0"/>
              <w:ind w:firstLine="709"/>
              <w:jc w:val="both"/>
              <w:rPr>
                <w:iCs/>
              </w:rPr>
            </w:pPr>
          </w:p>
        </w:tc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EE" w:rsidRPr="0027138D" w:rsidRDefault="008530EE" w:rsidP="00EA49DC">
            <w:r w:rsidRPr="0027138D">
              <w:t xml:space="preserve">от 2 500,0 до 4 500,0 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EE" w:rsidRPr="0027138D" w:rsidRDefault="008530EE" w:rsidP="00EA49DC">
            <w:pPr>
              <w:jc w:val="center"/>
            </w:pPr>
            <w:r w:rsidRPr="0027138D">
              <w:t>20%</w:t>
            </w:r>
          </w:p>
        </w:tc>
      </w:tr>
      <w:tr w:rsidR="008530EE" w:rsidRPr="0027138D" w:rsidTr="007D05E7">
        <w:tc>
          <w:tcPr>
            <w:tcW w:w="709" w:type="dxa"/>
            <w:shd w:val="clear" w:color="auto" w:fill="auto"/>
          </w:tcPr>
          <w:p w:rsidR="008530EE" w:rsidRPr="0027138D" w:rsidRDefault="008530EE" w:rsidP="00EA49DC">
            <w:pPr>
              <w:autoSpaceDE w:val="0"/>
              <w:autoSpaceDN w:val="0"/>
              <w:adjustRightInd w:val="0"/>
              <w:ind w:firstLine="709"/>
              <w:jc w:val="both"/>
              <w:rPr>
                <w:iCs/>
              </w:rPr>
            </w:pPr>
          </w:p>
        </w:tc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EE" w:rsidRPr="0027138D" w:rsidRDefault="008530EE" w:rsidP="00EA49DC">
            <w:r w:rsidRPr="0027138D">
              <w:t xml:space="preserve">от 2000,0 до 2 500,0 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EE" w:rsidRPr="0027138D" w:rsidRDefault="008530EE" w:rsidP="00EA49DC">
            <w:pPr>
              <w:jc w:val="center"/>
            </w:pPr>
            <w:r w:rsidRPr="0027138D">
              <w:t>15%</w:t>
            </w:r>
          </w:p>
        </w:tc>
      </w:tr>
      <w:tr w:rsidR="008530EE" w:rsidRPr="0027138D" w:rsidTr="007D05E7">
        <w:tc>
          <w:tcPr>
            <w:tcW w:w="709" w:type="dxa"/>
            <w:shd w:val="clear" w:color="auto" w:fill="auto"/>
          </w:tcPr>
          <w:p w:rsidR="008530EE" w:rsidRPr="0027138D" w:rsidRDefault="008530EE" w:rsidP="00EA49DC">
            <w:pPr>
              <w:autoSpaceDE w:val="0"/>
              <w:autoSpaceDN w:val="0"/>
              <w:adjustRightInd w:val="0"/>
              <w:ind w:firstLine="709"/>
              <w:jc w:val="both"/>
              <w:rPr>
                <w:iCs/>
              </w:rPr>
            </w:pPr>
          </w:p>
        </w:tc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EE" w:rsidRPr="0027138D" w:rsidRDefault="008530EE" w:rsidP="00EA49DC">
            <w:r w:rsidRPr="0027138D">
              <w:t xml:space="preserve">от 1000,0 до 2 000,0 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EE" w:rsidRPr="0027138D" w:rsidRDefault="008530EE" w:rsidP="00EA49DC">
            <w:pPr>
              <w:jc w:val="center"/>
            </w:pPr>
            <w:r w:rsidRPr="0027138D">
              <w:t>10%</w:t>
            </w:r>
          </w:p>
        </w:tc>
      </w:tr>
      <w:tr w:rsidR="008530EE" w:rsidRPr="0027138D" w:rsidTr="007D05E7">
        <w:tc>
          <w:tcPr>
            <w:tcW w:w="709" w:type="dxa"/>
            <w:shd w:val="clear" w:color="auto" w:fill="auto"/>
          </w:tcPr>
          <w:p w:rsidR="008530EE" w:rsidRPr="0027138D" w:rsidRDefault="008530EE" w:rsidP="00EA49DC">
            <w:pPr>
              <w:autoSpaceDE w:val="0"/>
              <w:autoSpaceDN w:val="0"/>
              <w:adjustRightInd w:val="0"/>
              <w:ind w:firstLine="709"/>
              <w:jc w:val="both"/>
              <w:rPr>
                <w:iCs/>
              </w:rPr>
            </w:pPr>
          </w:p>
        </w:tc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EE" w:rsidRPr="0027138D" w:rsidRDefault="008530EE" w:rsidP="00EA49DC">
            <w:r w:rsidRPr="0027138D">
              <w:t xml:space="preserve">менее 1000,0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EE" w:rsidRPr="0027138D" w:rsidRDefault="008530EE" w:rsidP="00EA49DC">
            <w:pPr>
              <w:jc w:val="center"/>
            </w:pPr>
            <w:r w:rsidRPr="0027138D">
              <w:t>0%</w:t>
            </w:r>
          </w:p>
        </w:tc>
      </w:tr>
      <w:tr w:rsidR="008530EE" w:rsidRPr="0027138D" w:rsidTr="007D05E7">
        <w:tc>
          <w:tcPr>
            <w:tcW w:w="709" w:type="dxa"/>
            <w:shd w:val="clear" w:color="auto" w:fill="auto"/>
          </w:tcPr>
          <w:p w:rsidR="008530EE" w:rsidRPr="0027138D" w:rsidRDefault="008530EE" w:rsidP="00EA49DC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522" w:type="dxa"/>
            <w:shd w:val="clear" w:color="auto" w:fill="auto"/>
            <w:vAlign w:val="center"/>
          </w:tcPr>
          <w:p w:rsidR="008530EE" w:rsidRPr="0027138D" w:rsidRDefault="008530EE" w:rsidP="00EA49DC">
            <w:pPr>
              <w:jc w:val="both"/>
              <w:rPr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8530EE" w:rsidRPr="0027138D" w:rsidRDefault="008530EE" w:rsidP="00EA49DC">
            <w:pPr>
              <w:spacing w:before="14" w:line="312" w:lineRule="exact"/>
              <w:jc w:val="center"/>
              <w:rPr>
                <w:b/>
                <w:iCs/>
              </w:rPr>
            </w:pPr>
          </w:p>
        </w:tc>
      </w:tr>
      <w:tr w:rsidR="008530EE" w:rsidRPr="0027138D" w:rsidTr="007D05E7">
        <w:tc>
          <w:tcPr>
            <w:tcW w:w="709" w:type="dxa"/>
            <w:vMerge w:val="restart"/>
            <w:shd w:val="clear" w:color="auto" w:fill="auto"/>
          </w:tcPr>
          <w:p w:rsidR="008530EE" w:rsidRPr="0027138D" w:rsidRDefault="008530EE" w:rsidP="00EA49D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7138D">
              <w:rPr>
                <w:iCs/>
              </w:rPr>
              <w:t>9.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EE" w:rsidRPr="0027138D" w:rsidRDefault="008530EE" w:rsidP="00EA49DC">
            <w:pPr>
              <w:rPr>
                <w:bCs/>
              </w:rPr>
            </w:pPr>
            <w:r w:rsidRPr="0027138D">
              <w:t>Отсутствие  обоснованных официальных обращений, жалоб на учреждение (руководителя) со стороны населения, органов власти и работников учреждения;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EE" w:rsidRPr="0027138D" w:rsidRDefault="008530EE" w:rsidP="00EA49DC">
            <w:pPr>
              <w:jc w:val="center"/>
            </w:pPr>
            <w:r w:rsidRPr="0027138D">
              <w:t> </w:t>
            </w:r>
          </w:p>
        </w:tc>
      </w:tr>
      <w:tr w:rsidR="008530EE" w:rsidRPr="0027138D" w:rsidTr="007D05E7">
        <w:tc>
          <w:tcPr>
            <w:tcW w:w="709" w:type="dxa"/>
            <w:vMerge/>
            <w:shd w:val="clear" w:color="auto" w:fill="auto"/>
          </w:tcPr>
          <w:p w:rsidR="008530EE" w:rsidRPr="0027138D" w:rsidRDefault="008530EE" w:rsidP="00EA49DC">
            <w:pPr>
              <w:autoSpaceDE w:val="0"/>
              <w:autoSpaceDN w:val="0"/>
              <w:adjustRightInd w:val="0"/>
              <w:ind w:firstLine="709"/>
              <w:jc w:val="center"/>
              <w:rPr>
                <w:iCs/>
              </w:rPr>
            </w:pPr>
          </w:p>
        </w:tc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EE" w:rsidRPr="0027138D" w:rsidRDefault="008530EE" w:rsidP="00EA49DC">
            <w:r w:rsidRPr="0027138D">
              <w:t xml:space="preserve"> - 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EE" w:rsidRPr="0027138D" w:rsidRDefault="008530EE" w:rsidP="00EA49DC">
            <w:pPr>
              <w:jc w:val="center"/>
            </w:pPr>
            <w:r w:rsidRPr="0027138D">
              <w:t>10%</w:t>
            </w:r>
          </w:p>
        </w:tc>
      </w:tr>
      <w:tr w:rsidR="008530EE" w:rsidRPr="0027138D" w:rsidTr="007D05E7">
        <w:tc>
          <w:tcPr>
            <w:tcW w:w="709" w:type="dxa"/>
            <w:vMerge/>
            <w:shd w:val="clear" w:color="auto" w:fill="auto"/>
          </w:tcPr>
          <w:p w:rsidR="008530EE" w:rsidRPr="0027138D" w:rsidRDefault="008530EE" w:rsidP="00EA49DC">
            <w:pPr>
              <w:autoSpaceDE w:val="0"/>
              <w:autoSpaceDN w:val="0"/>
              <w:adjustRightInd w:val="0"/>
              <w:ind w:firstLine="709"/>
              <w:jc w:val="center"/>
              <w:rPr>
                <w:iCs/>
              </w:rPr>
            </w:pPr>
          </w:p>
        </w:tc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EE" w:rsidRPr="0027138D" w:rsidRDefault="008530EE" w:rsidP="00EA49DC">
            <w:r w:rsidRPr="0027138D">
              <w:t xml:space="preserve"> - нет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EE" w:rsidRPr="0027138D" w:rsidRDefault="008530EE" w:rsidP="00EA49DC">
            <w:pPr>
              <w:jc w:val="center"/>
            </w:pPr>
            <w:r w:rsidRPr="0027138D">
              <w:t>0%</w:t>
            </w:r>
          </w:p>
        </w:tc>
      </w:tr>
      <w:tr w:rsidR="008530EE" w:rsidRPr="0027138D" w:rsidTr="007D05E7">
        <w:tc>
          <w:tcPr>
            <w:tcW w:w="709" w:type="dxa"/>
            <w:shd w:val="clear" w:color="auto" w:fill="auto"/>
          </w:tcPr>
          <w:p w:rsidR="008530EE" w:rsidRPr="0027138D" w:rsidRDefault="008530EE" w:rsidP="00EA49DC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522" w:type="dxa"/>
            <w:shd w:val="clear" w:color="auto" w:fill="auto"/>
            <w:vAlign w:val="center"/>
          </w:tcPr>
          <w:p w:rsidR="008530EE" w:rsidRPr="0027138D" w:rsidRDefault="008530EE" w:rsidP="00EA49DC">
            <w:pPr>
              <w:jc w:val="both"/>
              <w:rPr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8530EE" w:rsidRPr="0027138D" w:rsidRDefault="008530EE" w:rsidP="00EA49DC">
            <w:pPr>
              <w:spacing w:before="14" w:line="312" w:lineRule="exact"/>
              <w:jc w:val="center"/>
              <w:rPr>
                <w:b/>
              </w:rPr>
            </w:pPr>
          </w:p>
        </w:tc>
      </w:tr>
      <w:tr w:rsidR="008530EE" w:rsidRPr="0027138D" w:rsidTr="007D05E7">
        <w:tc>
          <w:tcPr>
            <w:tcW w:w="709" w:type="dxa"/>
            <w:vMerge w:val="restart"/>
            <w:shd w:val="clear" w:color="auto" w:fill="auto"/>
          </w:tcPr>
          <w:p w:rsidR="008530EE" w:rsidRPr="0027138D" w:rsidRDefault="008530EE" w:rsidP="00EA49D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7138D">
              <w:rPr>
                <w:iCs/>
              </w:rPr>
              <w:t>10.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EE" w:rsidRPr="0027138D" w:rsidRDefault="008530EE" w:rsidP="00EA49DC">
            <w:pPr>
              <w:rPr>
                <w:bCs/>
              </w:rPr>
            </w:pPr>
            <w:r w:rsidRPr="0027138D">
              <w:t xml:space="preserve">Своевременное предоставление официальной отчетности, исполнение приказов, поручений, распоряжений, заданий и запросов Отдела или заданий и запросов должностных лиц администрации района, данных по поручению </w:t>
            </w:r>
            <w:proofErr w:type="spellStart"/>
            <w:r w:rsidRPr="0027138D">
              <w:rPr>
                <w:lang w:val="en-US"/>
              </w:rPr>
              <w:t>Главы</w:t>
            </w:r>
            <w:proofErr w:type="spellEnd"/>
            <w:r w:rsidRPr="0027138D">
              <w:t xml:space="preserve"> поселения</w:t>
            </w:r>
            <w:r w:rsidRPr="0027138D">
              <w:rPr>
                <w:lang w:val="en-U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EE" w:rsidRPr="0027138D" w:rsidRDefault="008530EE" w:rsidP="00EA49DC">
            <w:pPr>
              <w:jc w:val="center"/>
            </w:pPr>
            <w:r w:rsidRPr="0027138D">
              <w:t> </w:t>
            </w:r>
          </w:p>
        </w:tc>
      </w:tr>
      <w:tr w:rsidR="008530EE" w:rsidRPr="0027138D" w:rsidTr="007D05E7">
        <w:tc>
          <w:tcPr>
            <w:tcW w:w="709" w:type="dxa"/>
            <w:vMerge/>
            <w:shd w:val="clear" w:color="auto" w:fill="auto"/>
          </w:tcPr>
          <w:p w:rsidR="008530EE" w:rsidRPr="0027138D" w:rsidRDefault="008530EE" w:rsidP="00EA49DC">
            <w:pPr>
              <w:autoSpaceDE w:val="0"/>
              <w:autoSpaceDN w:val="0"/>
              <w:adjustRightInd w:val="0"/>
              <w:ind w:firstLine="709"/>
              <w:jc w:val="center"/>
              <w:rPr>
                <w:iCs/>
              </w:rPr>
            </w:pPr>
          </w:p>
        </w:tc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EE" w:rsidRPr="0027138D" w:rsidRDefault="008530EE" w:rsidP="00EA49DC">
            <w:r w:rsidRPr="0027138D">
              <w:t xml:space="preserve"> - 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EE" w:rsidRPr="0027138D" w:rsidRDefault="008530EE" w:rsidP="00EA49DC">
            <w:pPr>
              <w:jc w:val="center"/>
            </w:pPr>
            <w:r w:rsidRPr="0027138D">
              <w:t>10%</w:t>
            </w:r>
          </w:p>
        </w:tc>
      </w:tr>
      <w:tr w:rsidR="008530EE" w:rsidRPr="0027138D" w:rsidTr="007D05E7">
        <w:tc>
          <w:tcPr>
            <w:tcW w:w="709" w:type="dxa"/>
            <w:vMerge/>
            <w:shd w:val="clear" w:color="auto" w:fill="auto"/>
          </w:tcPr>
          <w:p w:rsidR="008530EE" w:rsidRPr="0027138D" w:rsidRDefault="008530EE" w:rsidP="00EA49DC">
            <w:pPr>
              <w:autoSpaceDE w:val="0"/>
              <w:autoSpaceDN w:val="0"/>
              <w:adjustRightInd w:val="0"/>
              <w:ind w:firstLine="709"/>
              <w:jc w:val="center"/>
              <w:rPr>
                <w:iCs/>
              </w:rPr>
            </w:pPr>
          </w:p>
        </w:tc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EE" w:rsidRPr="0027138D" w:rsidRDefault="008530EE" w:rsidP="00EA49DC">
            <w:r w:rsidRPr="0027138D">
              <w:t xml:space="preserve"> - нет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EE" w:rsidRPr="0027138D" w:rsidRDefault="008530EE" w:rsidP="00EA49DC">
            <w:pPr>
              <w:jc w:val="center"/>
            </w:pPr>
            <w:r w:rsidRPr="0027138D">
              <w:t>0%</w:t>
            </w:r>
          </w:p>
        </w:tc>
      </w:tr>
      <w:tr w:rsidR="007D05E7" w:rsidRPr="0027138D" w:rsidTr="007D05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5E7" w:rsidRPr="0027138D" w:rsidRDefault="007D05E7" w:rsidP="00EA49DC">
            <w:pPr>
              <w:suppressAutoHyphens w:val="0"/>
              <w:autoSpaceDE w:val="0"/>
              <w:ind w:left="34"/>
              <w:jc w:val="both"/>
              <w:rPr>
                <w:highlight w:val="yellow"/>
                <w:lang w:eastAsia="ru-RU"/>
              </w:rPr>
            </w:pPr>
            <w:r w:rsidRPr="0027138D">
              <w:rPr>
                <w:lang w:eastAsia="ru-RU"/>
              </w:rPr>
              <w:t>11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5E7" w:rsidRPr="0027138D" w:rsidRDefault="007D05E7" w:rsidP="00EA49DC">
            <w:pPr>
              <w:suppressAutoHyphens w:val="0"/>
              <w:autoSpaceDE w:val="0"/>
              <w:ind w:left="34"/>
              <w:jc w:val="both"/>
            </w:pPr>
            <w:r w:rsidRPr="0027138D">
              <w:rPr>
                <w:lang w:eastAsia="ru-RU"/>
              </w:rPr>
              <w:t xml:space="preserve">Участие в реализации программы социальной поддержки молодежи «Пушкинская карта», всего </w:t>
            </w:r>
          </w:p>
          <w:p w:rsidR="007D05E7" w:rsidRPr="0027138D" w:rsidRDefault="007D05E7" w:rsidP="00EA49DC">
            <w:pPr>
              <w:suppressAutoHyphens w:val="0"/>
              <w:autoSpaceDE w:val="0"/>
              <w:ind w:left="34"/>
              <w:jc w:val="both"/>
            </w:pPr>
            <w:r w:rsidRPr="0027138D">
              <w:rPr>
                <w:i/>
                <w:lang w:eastAsia="ru-RU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5E7" w:rsidRPr="0027138D" w:rsidRDefault="007D05E7" w:rsidP="00EA49DC">
            <w:pPr>
              <w:suppressAutoHyphens w:val="0"/>
              <w:autoSpaceDE w:val="0"/>
              <w:snapToGrid w:val="0"/>
              <w:ind w:left="176"/>
              <w:jc w:val="center"/>
              <w:rPr>
                <w:lang w:eastAsia="ru-RU"/>
              </w:rPr>
            </w:pPr>
          </w:p>
          <w:p w:rsidR="007D05E7" w:rsidRPr="0027138D" w:rsidRDefault="007D05E7" w:rsidP="00EA49DC">
            <w:pPr>
              <w:suppressAutoHyphens w:val="0"/>
              <w:autoSpaceDE w:val="0"/>
              <w:ind w:left="176"/>
              <w:jc w:val="center"/>
              <w:rPr>
                <w:highlight w:val="yellow"/>
              </w:rPr>
            </w:pPr>
            <w:r w:rsidRPr="0027138D">
              <w:rPr>
                <w:lang w:eastAsia="ru-RU"/>
              </w:rPr>
              <w:t>30%</w:t>
            </w:r>
          </w:p>
        </w:tc>
      </w:tr>
      <w:tr w:rsidR="007D05E7" w:rsidRPr="0027138D" w:rsidTr="007D05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5E7" w:rsidRPr="0027138D" w:rsidRDefault="007D05E7" w:rsidP="00EA49DC">
            <w:pPr>
              <w:suppressAutoHyphens w:val="0"/>
              <w:autoSpaceDE w:val="0"/>
              <w:ind w:left="34"/>
              <w:jc w:val="both"/>
              <w:rPr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5E7" w:rsidRPr="0027138D" w:rsidRDefault="007D05E7" w:rsidP="00EA49DC">
            <w:pPr>
              <w:suppressAutoHyphens w:val="0"/>
              <w:autoSpaceDE w:val="0"/>
              <w:ind w:left="34"/>
              <w:jc w:val="both"/>
            </w:pPr>
            <w:r w:rsidRPr="0027138D">
              <w:rPr>
                <w:lang w:eastAsia="ru-RU"/>
              </w:rPr>
              <w:t>1) Наличие актуальных рекламных материалов по программе «Пушкинская карта» в афишах, на сайтах, в наружной рекламе и СМИ</w:t>
            </w:r>
          </w:p>
          <w:p w:rsidR="007D05E7" w:rsidRPr="0027138D" w:rsidRDefault="007D05E7" w:rsidP="00EA49DC">
            <w:pPr>
              <w:suppressAutoHyphens w:val="0"/>
              <w:autoSpaceDE w:val="0"/>
              <w:ind w:left="34"/>
              <w:jc w:val="both"/>
            </w:pPr>
            <w:r w:rsidRPr="0027138D">
              <w:rPr>
                <w:lang w:eastAsia="ru-RU"/>
              </w:rPr>
              <w:t>- да</w:t>
            </w:r>
          </w:p>
          <w:p w:rsidR="007D05E7" w:rsidRPr="0027138D" w:rsidRDefault="007D05E7" w:rsidP="00EA49DC">
            <w:pPr>
              <w:suppressAutoHyphens w:val="0"/>
              <w:autoSpaceDE w:val="0"/>
              <w:ind w:left="34"/>
              <w:jc w:val="both"/>
            </w:pPr>
            <w:r w:rsidRPr="0027138D">
              <w:rPr>
                <w:lang w:eastAsia="ru-RU"/>
              </w:rPr>
              <w:t>- 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5E7" w:rsidRPr="0027138D" w:rsidRDefault="007D05E7" w:rsidP="00EA49DC">
            <w:pPr>
              <w:suppressAutoHyphens w:val="0"/>
              <w:autoSpaceDE w:val="0"/>
              <w:snapToGrid w:val="0"/>
              <w:ind w:left="176"/>
              <w:jc w:val="center"/>
              <w:rPr>
                <w:lang w:eastAsia="ru-RU"/>
              </w:rPr>
            </w:pPr>
          </w:p>
          <w:p w:rsidR="007D05E7" w:rsidRPr="0027138D" w:rsidRDefault="007D05E7" w:rsidP="00EA49DC">
            <w:pPr>
              <w:suppressAutoHyphens w:val="0"/>
              <w:autoSpaceDE w:val="0"/>
              <w:ind w:left="176"/>
              <w:jc w:val="center"/>
              <w:rPr>
                <w:lang w:eastAsia="ru-RU"/>
              </w:rPr>
            </w:pPr>
          </w:p>
          <w:p w:rsidR="007D05E7" w:rsidRPr="0027138D" w:rsidRDefault="007D05E7" w:rsidP="00EA49DC">
            <w:pPr>
              <w:suppressAutoHyphens w:val="0"/>
              <w:autoSpaceDE w:val="0"/>
              <w:ind w:left="176"/>
              <w:jc w:val="center"/>
              <w:rPr>
                <w:lang w:eastAsia="ru-RU"/>
              </w:rPr>
            </w:pPr>
          </w:p>
          <w:p w:rsidR="007D05E7" w:rsidRPr="0027138D" w:rsidRDefault="007D05E7" w:rsidP="00EA49DC">
            <w:pPr>
              <w:suppressAutoHyphens w:val="0"/>
              <w:autoSpaceDE w:val="0"/>
              <w:ind w:left="176"/>
              <w:jc w:val="center"/>
            </w:pPr>
            <w:r w:rsidRPr="0027138D">
              <w:rPr>
                <w:lang w:eastAsia="ru-RU"/>
              </w:rPr>
              <w:t>5%</w:t>
            </w:r>
          </w:p>
          <w:p w:rsidR="007D05E7" w:rsidRPr="0027138D" w:rsidRDefault="007D05E7" w:rsidP="00EA49DC">
            <w:pPr>
              <w:suppressAutoHyphens w:val="0"/>
              <w:autoSpaceDE w:val="0"/>
              <w:ind w:left="176"/>
              <w:jc w:val="center"/>
            </w:pPr>
            <w:r w:rsidRPr="0027138D">
              <w:rPr>
                <w:lang w:eastAsia="ru-RU"/>
              </w:rPr>
              <w:t>0%</w:t>
            </w:r>
          </w:p>
        </w:tc>
      </w:tr>
      <w:tr w:rsidR="007D05E7" w:rsidRPr="0027138D" w:rsidTr="007D05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5E7" w:rsidRPr="0027138D" w:rsidRDefault="007D05E7" w:rsidP="00EA49DC">
            <w:pPr>
              <w:suppressAutoHyphens w:val="0"/>
              <w:autoSpaceDE w:val="0"/>
              <w:ind w:left="34"/>
              <w:jc w:val="both"/>
              <w:rPr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5E7" w:rsidRPr="0027138D" w:rsidRDefault="007D05E7" w:rsidP="00EA49DC">
            <w:pPr>
              <w:suppressAutoHyphens w:val="0"/>
              <w:autoSpaceDE w:val="0"/>
              <w:ind w:left="34"/>
              <w:jc w:val="both"/>
            </w:pPr>
            <w:r w:rsidRPr="0027138D">
              <w:rPr>
                <w:lang w:eastAsia="ru-RU"/>
              </w:rPr>
              <w:t>2) Процент событий по программе «Пушкинская карта» от общего количества актуальных платных событий из афиши организации культуры, ориентированных на целевую аудиторию (молодежь от 14 до 22 лет)</w:t>
            </w:r>
          </w:p>
          <w:p w:rsidR="007D05E7" w:rsidRPr="0027138D" w:rsidRDefault="007D05E7" w:rsidP="00EA49DC">
            <w:pPr>
              <w:suppressAutoHyphens w:val="0"/>
              <w:autoSpaceDE w:val="0"/>
              <w:ind w:left="34"/>
              <w:jc w:val="both"/>
            </w:pPr>
            <w:r w:rsidRPr="0027138D">
              <w:rPr>
                <w:lang w:eastAsia="ru-RU"/>
              </w:rPr>
              <w:t>- от 90% до 100%</w:t>
            </w:r>
          </w:p>
          <w:p w:rsidR="007D05E7" w:rsidRPr="0027138D" w:rsidRDefault="007D05E7" w:rsidP="00EA49DC">
            <w:pPr>
              <w:suppressAutoHyphens w:val="0"/>
              <w:autoSpaceDE w:val="0"/>
              <w:ind w:left="34"/>
              <w:jc w:val="both"/>
            </w:pPr>
            <w:r w:rsidRPr="0027138D">
              <w:rPr>
                <w:lang w:eastAsia="ru-RU"/>
              </w:rPr>
              <w:t>- от 80% до 90%</w:t>
            </w:r>
          </w:p>
          <w:p w:rsidR="007D05E7" w:rsidRPr="0027138D" w:rsidRDefault="007D05E7" w:rsidP="00EA49DC">
            <w:pPr>
              <w:suppressAutoHyphens w:val="0"/>
              <w:autoSpaceDE w:val="0"/>
              <w:ind w:left="34"/>
              <w:jc w:val="both"/>
            </w:pPr>
            <w:r w:rsidRPr="0027138D">
              <w:rPr>
                <w:lang w:eastAsia="ru-RU"/>
              </w:rPr>
              <w:t>- от 70% до 80%</w:t>
            </w:r>
          </w:p>
          <w:p w:rsidR="007D05E7" w:rsidRPr="0027138D" w:rsidRDefault="007D05E7" w:rsidP="00EA49DC">
            <w:pPr>
              <w:suppressAutoHyphens w:val="0"/>
              <w:autoSpaceDE w:val="0"/>
              <w:ind w:left="34"/>
              <w:jc w:val="both"/>
            </w:pPr>
            <w:r w:rsidRPr="0027138D">
              <w:rPr>
                <w:lang w:eastAsia="ru-RU"/>
              </w:rPr>
              <w:t>- ниже 70%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5E7" w:rsidRPr="0027138D" w:rsidRDefault="007D05E7" w:rsidP="00EA49DC">
            <w:pPr>
              <w:suppressAutoHyphens w:val="0"/>
              <w:autoSpaceDE w:val="0"/>
              <w:snapToGrid w:val="0"/>
              <w:ind w:left="176"/>
              <w:jc w:val="center"/>
              <w:rPr>
                <w:lang w:eastAsia="ru-RU"/>
              </w:rPr>
            </w:pPr>
          </w:p>
          <w:p w:rsidR="007D05E7" w:rsidRPr="0027138D" w:rsidRDefault="007D05E7" w:rsidP="00EA49DC">
            <w:pPr>
              <w:suppressAutoHyphens w:val="0"/>
              <w:autoSpaceDE w:val="0"/>
              <w:ind w:left="176"/>
              <w:jc w:val="center"/>
              <w:rPr>
                <w:lang w:eastAsia="ru-RU"/>
              </w:rPr>
            </w:pPr>
          </w:p>
          <w:p w:rsidR="007D05E7" w:rsidRPr="0027138D" w:rsidRDefault="007D05E7" w:rsidP="00EA49DC">
            <w:pPr>
              <w:suppressAutoHyphens w:val="0"/>
              <w:autoSpaceDE w:val="0"/>
              <w:ind w:left="176"/>
              <w:jc w:val="center"/>
              <w:rPr>
                <w:lang w:eastAsia="ru-RU"/>
              </w:rPr>
            </w:pPr>
          </w:p>
          <w:p w:rsidR="007D05E7" w:rsidRPr="0027138D" w:rsidRDefault="007D05E7" w:rsidP="00EA49DC">
            <w:pPr>
              <w:suppressAutoHyphens w:val="0"/>
              <w:autoSpaceDE w:val="0"/>
              <w:ind w:left="176"/>
              <w:jc w:val="center"/>
              <w:rPr>
                <w:lang w:eastAsia="ru-RU"/>
              </w:rPr>
            </w:pPr>
          </w:p>
          <w:p w:rsidR="007D05E7" w:rsidRPr="0027138D" w:rsidRDefault="007D05E7" w:rsidP="00EA49DC">
            <w:pPr>
              <w:suppressAutoHyphens w:val="0"/>
              <w:autoSpaceDE w:val="0"/>
              <w:ind w:left="176"/>
              <w:jc w:val="center"/>
            </w:pPr>
            <w:r w:rsidRPr="0027138D">
              <w:rPr>
                <w:lang w:eastAsia="ru-RU"/>
              </w:rPr>
              <w:t>10%</w:t>
            </w:r>
          </w:p>
          <w:p w:rsidR="007D05E7" w:rsidRPr="0027138D" w:rsidRDefault="007D05E7" w:rsidP="00EA49DC">
            <w:pPr>
              <w:suppressAutoHyphens w:val="0"/>
              <w:autoSpaceDE w:val="0"/>
              <w:ind w:left="176"/>
              <w:jc w:val="center"/>
            </w:pPr>
            <w:r w:rsidRPr="0027138D">
              <w:rPr>
                <w:lang w:eastAsia="ru-RU"/>
              </w:rPr>
              <w:t>5%</w:t>
            </w:r>
          </w:p>
          <w:p w:rsidR="007D05E7" w:rsidRPr="0027138D" w:rsidRDefault="007D05E7" w:rsidP="00EA49DC">
            <w:pPr>
              <w:suppressAutoHyphens w:val="0"/>
              <w:autoSpaceDE w:val="0"/>
              <w:ind w:left="176"/>
              <w:jc w:val="center"/>
            </w:pPr>
            <w:r w:rsidRPr="0027138D">
              <w:rPr>
                <w:lang w:eastAsia="ru-RU"/>
              </w:rPr>
              <w:t>3%</w:t>
            </w:r>
          </w:p>
          <w:p w:rsidR="007D05E7" w:rsidRPr="0027138D" w:rsidRDefault="007D05E7" w:rsidP="00EA49DC">
            <w:pPr>
              <w:suppressAutoHyphens w:val="0"/>
              <w:autoSpaceDE w:val="0"/>
              <w:ind w:left="176"/>
              <w:jc w:val="center"/>
            </w:pPr>
            <w:r w:rsidRPr="0027138D">
              <w:rPr>
                <w:lang w:eastAsia="ru-RU"/>
              </w:rPr>
              <w:t>0%</w:t>
            </w:r>
          </w:p>
        </w:tc>
      </w:tr>
      <w:tr w:rsidR="007D05E7" w:rsidRPr="0027138D" w:rsidTr="007D05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5E7" w:rsidRPr="0027138D" w:rsidRDefault="007D05E7" w:rsidP="00EA49DC">
            <w:pPr>
              <w:suppressAutoHyphens w:val="0"/>
              <w:autoSpaceDE w:val="0"/>
              <w:ind w:left="34"/>
              <w:jc w:val="both"/>
              <w:rPr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5E7" w:rsidRPr="0027138D" w:rsidRDefault="007D05E7" w:rsidP="00EA49DC">
            <w:pPr>
              <w:suppressAutoHyphens w:val="0"/>
              <w:autoSpaceDE w:val="0"/>
              <w:ind w:left="34"/>
              <w:jc w:val="both"/>
            </w:pPr>
            <w:r w:rsidRPr="0027138D">
              <w:rPr>
                <w:lang w:eastAsia="ru-RU"/>
              </w:rPr>
              <w:t>3) Рост объема продаж по программе «Пушкинская карта»</w:t>
            </w:r>
          </w:p>
          <w:p w:rsidR="007D05E7" w:rsidRPr="0027138D" w:rsidRDefault="007D05E7" w:rsidP="00EA49DC">
            <w:pPr>
              <w:suppressAutoHyphens w:val="0"/>
              <w:autoSpaceDE w:val="0"/>
              <w:ind w:left="34"/>
              <w:jc w:val="both"/>
            </w:pPr>
            <w:r w:rsidRPr="0027138D">
              <w:rPr>
                <w:lang w:eastAsia="ru-RU"/>
              </w:rPr>
              <w:t xml:space="preserve">- не менее 15% </w:t>
            </w:r>
          </w:p>
          <w:p w:rsidR="007D05E7" w:rsidRPr="0027138D" w:rsidRDefault="007D05E7" w:rsidP="00EA49DC">
            <w:pPr>
              <w:suppressAutoHyphens w:val="0"/>
              <w:autoSpaceDE w:val="0"/>
              <w:ind w:left="34"/>
              <w:jc w:val="both"/>
            </w:pPr>
            <w:r w:rsidRPr="0027138D">
              <w:rPr>
                <w:lang w:eastAsia="ru-RU"/>
              </w:rPr>
              <w:t>- менее 15%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5E7" w:rsidRPr="0027138D" w:rsidRDefault="007D05E7" w:rsidP="00EA49DC">
            <w:pPr>
              <w:suppressAutoHyphens w:val="0"/>
              <w:autoSpaceDE w:val="0"/>
              <w:snapToGrid w:val="0"/>
              <w:ind w:left="176"/>
              <w:jc w:val="center"/>
              <w:rPr>
                <w:lang w:eastAsia="ru-RU"/>
              </w:rPr>
            </w:pPr>
          </w:p>
          <w:p w:rsidR="007D05E7" w:rsidRPr="0027138D" w:rsidRDefault="007D05E7" w:rsidP="00EA49DC">
            <w:pPr>
              <w:suppressAutoHyphens w:val="0"/>
              <w:autoSpaceDE w:val="0"/>
              <w:ind w:left="176"/>
              <w:jc w:val="center"/>
            </w:pPr>
            <w:r w:rsidRPr="0027138D">
              <w:rPr>
                <w:lang w:eastAsia="ru-RU"/>
              </w:rPr>
              <w:t>10%</w:t>
            </w:r>
          </w:p>
          <w:p w:rsidR="007D05E7" w:rsidRPr="0027138D" w:rsidRDefault="007D05E7" w:rsidP="00EA49DC">
            <w:pPr>
              <w:suppressAutoHyphens w:val="0"/>
              <w:autoSpaceDE w:val="0"/>
              <w:ind w:left="176"/>
              <w:jc w:val="center"/>
            </w:pPr>
            <w:r w:rsidRPr="0027138D">
              <w:rPr>
                <w:lang w:eastAsia="ru-RU"/>
              </w:rPr>
              <w:t>0%</w:t>
            </w:r>
          </w:p>
        </w:tc>
      </w:tr>
      <w:tr w:rsidR="007D05E7" w:rsidRPr="0027138D" w:rsidTr="007D05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5E7" w:rsidRPr="0027138D" w:rsidRDefault="007D05E7" w:rsidP="00EA49DC">
            <w:pPr>
              <w:suppressAutoHyphens w:val="0"/>
              <w:autoSpaceDE w:val="0"/>
              <w:ind w:left="34"/>
              <w:jc w:val="both"/>
              <w:rPr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5E7" w:rsidRPr="0027138D" w:rsidRDefault="007D05E7" w:rsidP="00EA49DC">
            <w:pPr>
              <w:suppressAutoHyphens w:val="0"/>
              <w:autoSpaceDE w:val="0"/>
              <w:ind w:left="34"/>
              <w:jc w:val="both"/>
            </w:pPr>
            <w:r w:rsidRPr="0027138D">
              <w:rPr>
                <w:lang w:eastAsia="ru-RU"/>
              </w:rPr>
              <w:t>4) Рост объема реализации билетов по программе «Пушкинская карта»</w:t>
            </w:r>
          </w:p>
          <w:p w:rsidR="007D05E7" w:rsidRPr="0027138D" w:rsidRDefault="007D05E7" w:rsidP="00EA49DC">
            <w:pPr>
              <w:suppressAutoHyphens w:val="0"/>
              <w:autoSpaceDE w:val="0"/>
              <w:ind w:left="34"/>
              <w:jc w:val="both"/>
            </w:pPr>
            <w:r w:rsidRPr="0027138D">
              <w:rPr>
                <w:lang w:eastAsia="ru-RU"/>
              </w:rPr>
              <w:t xml:space="preserve">- не менее 15% </w:t>
            </w:r>
          </w:p>
          <w:p w:rsidR="007D05E7" w:rsidRPr="0027138D" w:rsidRDefault="007D05E7" w:rsidP="00EA49DC">
            <w:pPr>
              <w:suppressAutoHyphens w:val="0"/>
              <w:autoSpaceDE w:val="0"/>
              <w:ind w:left="34"/>
              <w:jc w:val="both"/>
            </w:pPr>
            <w:r w:rsidRPr="0027138D">
              <w:rPr>
                <w:lang w:eastAsia="ru-RU"/>
              </w:rPr>
              <w:t>- менее 15%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5E7" w:rsidRPr="0027138D" w:rsidRDefault="007D05E7" w:rsidP="00EA49DC">
            <w:pPr>
              <w:suppressAutoHyphens w:val="0"/>
              <w:autoSpaceDE w:val="0"/>
              <w:snapToGrid w:val="0"/>
              <w:ind w:left="176"/>
              <w:jc w:val="center"/>
              <w:rPr>
                <w:lang w:eastAsia="ru-RU"/>
              </w:rPr>
            </w:pPr>
          </w:p>
          <w:p w:rsidR="007D05E7" w:rsidRPr="0027138D" w:rsidRDefault="007D05E7" w:rsidP="00EA49DC">
            <w:pPr>
              <w:suppressAutoHyphens w:val="0"/>
              <w:autoSpaceDE w:val="0"/>
              <w:ind w:left="176"/>
              <w:jc w:val="center"/>
              <w:rPr>
                <w:lang w:eastAsia="ru-RU"/>
              </w:rPr>
            </w:pPr>
          </w:p>
          <w:p w:rsidR="007D05E7" w:rsidRPr="0027138D" w:rsidRDefault="007D05E7" w:rsidP="00EA49DC">
            <w:pPr>
              <w:suppressAutoHyphens w:val="0"/>
              <w:autoSpaceDE w:val="0"/>
              <w:ind w:left="176"/>
              <w:jc w:val="center"/>
            </w:pPr>
            <w:r w:rsidRPr="0027138D">
              <w:rPr>
                <w:lang w:eastAsia="ru-RU"/>
              </w:rPr>
              <w:t>5%</w:t>
            </w:r>
          </w:p>
          <w:p w:rsidR="007D05E7" w:rsidRPr="0027138D" w:rsidRDefault="007D05E7" w:rsidP="00EA49DC">
            <w:pPr>
              <w:suppressAutoHyphens w:val="0"/>
              <w:autoSpaceDE w:val="0"/>
              <w:ind w:left="176"/>
              <w:jc w:val="center"/>
            </w:pPr>
            <w:r w:rsidRPr="0027138D">
              <w:rPr>
                <w:lang w:eastAsia="ru-RU"/>
              </w:rPr>
              <w:t>0%</w:t>
            </w:r>
          </w:p>
        </w:tc>
      </w:tr>
      <w:tr w:rsidR="007D05E7" w:rsidRPr="0027138D" w:rsidTr="007D05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5E7" w:rsidRPr="0027138D" w:rsidRDefault="007D05E7" w:rsidP="00EA49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13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5E7" w:rsidRPr="0027138D" w:rsidRDefault="007D05E7" w:rsidP="00EA49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138D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Своевременное предоставление отчетности и запрашиваемой информации о деятельности учреждения:</w:t>
            </w:r>
          </w:p>
          <w:p w:rsidR="007D05E7" w:rsidRPr="0027138D" w:rsidRDefault="007D05E7" w:rsidP="00EA49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138D">
              <w:rPr>
                <w:rFonts w:ascii="Times New Roman" w:hAnsi="Times New Roman" w:cs="Times New Roman"/>
                <w:sz w:val="24"/>
                <w:szCs w:val="24"/>
              </w:rPr>
              <w:t>-да</w:t>
            </w:r>
          </w:p>
          <w:p w:rsidR="007D05E7" w:rsidRPr="0027138D" w:rsidRDefault="007D05E7" w:rsidP="00EA49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138D">
              <w:rPr>
                <w:rFonts w:ascii="Times New Roman" w:hAnsi="Times New Roman" w:cs="Times New Roman"/>
                <w:sz w:val="24"/>
                <w:szCs w:val="24"/>
              </w:rPr>
              <w:t>-нет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5E7" w:rsidRPr="0027138D" w:rsidRDefault="007D05E7" w:rsidP="007D05E7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E7" w:rsidRPr="0027138D" w:rsidRDefault="007D05E7" w:rsidP="007D05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E7" w:rsidRPr="0027138D" w:rsidRDefault="007D05E7" w:rsidP="007D05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8D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  <w:p w:rsidR="007D05E7" w:rsidRPr="0027138D" w:rsidRDefault="007D05E7" w:rsidP="007D05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8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D05E7" w:rsidRPr="0027138D" w:rsidTr="007D05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5E7" w:rsidRPr="0027138D" w:rsidRDefault="007D05E7" w:rsidP="00EA49DC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5E7" w:rsidRPr="0027138D" w:rsidRDefault="007D05E7" w:rsidP="00EA49D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Поощрение организаций, получивших высокие результаты независимой оценки качества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5E7" w:rsidRPr="0027138D" w:rsidRDefault="007D05E7" w:rsidP="007D05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8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7D05E7" w:rsidRPr="0027138D" w:rsidTr="007D05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5E7" w:rsidRPr="0027138D" w:rsidRDefault="007D05E7" w:rsidP="00EA49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13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5E7" w:rsidRPr="0027138D" w:rsidRDefault="007D05E7" w:rsidP="00EA49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138D"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учреждения в социально </w:t>
            </w:r>
            <w:proofErr w:type="gramStart"/>
            <w:r w:rsidRPr="0027138D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27138D">
              <w:rPr>
                <w:rFonts w:ascii="Times New Roman" w:hAnsi="Times New Roman" w:cs="Times New Roman"/>
                <w:sz w:val="24"/>
                <w:szCs w:val="24"/>
              </w:rPr>
              <w:t>начимых проектах и грантах:</w:t>
            </w:r>
          </w:p>
          <w:p w:rsidR="007D05E7" w:rsidRPr="0027138D" w:rsidRDefault="007D05E7" w:rsidP="00EA49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138D">
              <w:rPr>
                <w:rFonts w:ascii="Times New Roman" w:hAnsi="Times New Roman" w:cs="Times New Roman"/>
                <w:sz w:val="24"/>
                <w:szCs w:val="24"/>
              </w:rPr>
              <w:t>- победитель</w:t>
            </w:r>
          </w:p>
          <w:p w:rsidR="007D05E7" w:rsidRPr="0027138D" w:rsidRDefault="007D05E7" w:rsidP="00EA49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138D">
              <w:rPr>
                <w:rFonts w:ascii="Times New Roman" w:hAnsi="Times New Roman" w:cs="Times New Roman"/>
                <w:sz w:val="24"/>
                <w:szCs w:val="24"/>
              </w:rPr>
              <w:t>- участие</w:t>
            </w:r>
          </w:p>
          <w:p w:rsidR="007D05E7" w:rsidRPr="0027138D" w:rsidRDefault="007D05E7" w:rsidP="00EA49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138D">
              <w:rPr>
                <w:rFonts w:ascii="Times New Roman" w:hAnsi="Times New Roman" w:cs="Times New Roman"/>
                <w:sz w:val="24"/>
                <w:szCs w:val="24"/>
              </w:rPr>
              <w:t>- неучастие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5E7" w:rsidRPr="0027138D" w:rsidRDefault="007D05E7" w:rsidP="007D05E7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E7" w:rsidRPr="0027138D" w:rsidRDefault="007D05E7" w:rsidP="007D05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8D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  <w:p w:rsidR="007D05E7" w:rsidRPr="0027138D" w:rsidRDefault="007D05E7" w:rsidP="007D05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8D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  <w:p w:rsidR="007D05E7" w:rsidRPr="0027138D" w:rsidRDefault="007D05E7" w:rsidP="007D05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8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7138D" w:rsidRPr="0027138D" w:rsidTr="007D05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38D" w:rsidRPr="0027138D" w:rsidRDefault="0027138D" w:rsidP="00EA49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38D" w:rsidRPr="0027138D" w:rsidRDefault="0027138D" w:rsidP="00EA49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138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38D" w:rsidRPr="0027138D" w:rsidRDefault="0027138D" w:rsidP="007D05E7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8D">
              <w:rPr>
                <w:rFonts w:ascii="Times New Roman" w:hAnsi="Times New Roman" w:cs="Times New Roman"/>
                <w:sz w:val="24"/>
                <w:szCs w:val="24"/>
              </w:rPr>
              <w:t>До 420%</w:t>
            </w:r>
          </w:p>
        </w:tc>
      </w:tr>
    </w:tbl>
    <w:p w:rsidR="008530EE" w:rsidRPr="0027138D" w:rsidRDefault="008530EE" w:rsidP="008530E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530EE" w:rsidRPr="0027138D" w:rsidRDefault="008530EE" w:rsidP="008530EE">
      <w:pPr>
        <w:shd w:val="clear" w:color="auto" w:fill="FFFFFF"/>
        <w:spacing w:before="14"/>
        <w:jc w:val="both"/>
        <w:rPr>
          <w:b/>
          <w:iCs/>
        </w:rPr>
      </w:pPr>
    </w:p>
    <w:p w:rsidR="00833334" w:rsidRDefault="00833334" w:rsidP="008530EE">
      <w:pPr>
        <w:pStyle w:val="a9"/>
        <w:rPr>
          <w:sz w:val="24"/>
          <w:szCs w:val="24"/>
        </w:rPr>
      </w:pPr>
    </w:p>
    <w:p w:rsidR="00833334" w:rsidRDefault="00833334" w:rsidP="008530EE">
      <w:pPr>
        <w:pStyle w:val="a9"/>
        <w:rPr>
          <w:sz w:val="24"/>
          <w:szCs w:val="24"/>
        </w:rPr>
      </w:pPr>
    </w:p>
    <w:p w:rsidR="008530EE" w:rsidRPr="0027138D" w:rsidRDefault="008530EE" w:rsidP="008530EE">
      <w:pPr>
        <w:pStyle w:val="a9"/>
        <w:rPr>
          <w:sz w:val="24"/>
          <w:szCs w:val="24"/>
        </w:rPr>
      </w:pPr>
      <w:r w:rsidRPr="0027138D">
        <w:rPr>
          <w:sz w:val="24"/>
          <w:szCs w:val="24"/>
        </w:rPr>
        <w:t>Показатели, отменяющие выплаты стимулирующего характера:</w:t>
      </w:r>
    </w:p>
    <w:p w:rsidR="008530EE" w:rsidRPr="0027138D" w:rsidRDefault="008530EE" w:rsidP="008530EE">
      <w:pPr>
        <w:pStyle w:val="a9"/>
        <w:rPr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40"/>
      </w:tblGrid>
      <w:tr w:rsidR="008530EE" w:rsidRPr="0027138D" w:rsidTr="00EA49DC">
        <w:tc>
          <w:tcPr>
            <w:tcW w:w="9640" w:type="dxa"/>
          </w:tcPr>
          <w:p w:rsidR="008530EE" w:rsidRPr="0027138D" w:rsidRDefault="008530EE" w:rsidP="00EA49DC">
            <w:pPr>
              <w:pStyle w:val="a9"/>
              <w:rPr>
                <w:sz w:val="24"/>
                <w:szCs w:val="24"/>
              </w:rPr>
            </w:pPr>
            <w:r w:rsidRPr="0027138D">
              <w:rPr>
                <w:sz w:val="24"/>
                <w:szCs w:val="24"/>
              </w:rPr>
              <w:t>1. Невыполнение установленного объема целевых показателей деятельности учреждения</w:t>
            </w:r>
          </w:p>
        </w:tc>
      </w:tr>
      <w:tr w:rsidR="008530EE" w:rsidRPr="0027138D" w:rsidTr="00EA49DC">
        <w:tc>
          <w:tcPr>
            <w:tcW w:w="9640" w:type="dxa"/>
          </w:tcPr>
          <w:p w:rsidR="008530EE" w:rsidRPr="0027138D" w:rsidRDefault="008530EE" w:rsidP="00EA49DC">
            <w:pPr>
              <w:pStyle w:val="a9"/>
              <w:rPr>
                <w:sz w:val="24"/>
                <w:szCs w:val="24"/>
              </w:rPr>
            </w:pPr>
            <w:r w:rsidRPr="0027138D">
              <w:rPr>
                <w:sz w:val="24"/>
                <w:szCs w:val="24"/>
              </w:rPr>
              <w:t>2. Травматизм  участников (посетителей) во время проведения репетиционных занятий, мероприятий.</w:t>
            </w:r>
          </w:p>
        </w:tc>
      </w:tr>
      <w:tr w:rsidR="008530EE" w:rsidRPr="0027138D" w:rsidTr="00EA49DC">
        <w:tc>
          <w:tcPr>
            <w:tcW w:w="9640" w:type="dxa"/>
          </w:tcPr>
          <w:p w:rsidR="008530EE" w:rsidRPr="0027138D" w:rsidRDefault="008530EE" w:rsidP="00EA49DC">
            <w:pPr>
              <w:pStyle w:val="a9"/>
              <w:rPr>
                <w:sz w:val="24"/>
                <w:szCs w:val="24"/>
              </w:rPr>
            </w:pPr>
            <w:r w:rsidRPr="0027138D">
              <w:rPr>
                <w:sz w:val="24"/>
                <w:szCs w:val="24"/>
              </w:rPr>
              <w:t>3. Невыполнение обоснованных приказов, поручений, распоряжений, заданий  учредителя.</w:t>
            </w:r>
          </w:p>
        </w:tc>
      </w:tr>
      <w:tr w:rsidR="008530EE" w:rsidRPr="0027138D" w:rsidTr="00EA49DC">
        <w:tc>
          <w:tcPr>
            <w:tcW w:w="9640" w:type="dxa"/>
          </w:tcPr>
          <w:p w:rsidR="008530EE" w:rsidRPr="0027138D" w:rsidRDefault="008530EE" w:rsidP="00EA49DC">
            <w:pPr>
              <w:pStyle w:val="a9"/>
              <w:rPr>
                <w:sz w:val="24"/>
                <w:szCs w:val="24"/>
              </w:rPr>
            </w:pPr>
            <w:r w:rsidRPr="0027138D">
              <w:rPr>
                <w:sz w:val="24"/>
                <w:szCs w:val="24"/>
              </w:rPr>
              <w:t>4. Применение повторного дисциплинарного взыскания при наличии ранее наложенного и не снятого дисциплинарного взыскания</w:t>
            </w:r>
          </w:p>
        </w:tc>
      </w:tr>
      <w:tr w:rsidR="008530EE" w:rsidRPr="0027138D" w:rsidTr="00EA49DC">
        <w:tc>
          <w:tcPr>
            <w:tcW w:w="9640" w:type="dxa"/>
          </w:tcPr>
          <w:p w:rsidR="008530EE" w:rsidRPr="0027138D" w:rsidRDefault="007D05E7" w:rsidP="00EA49DC">
            <w:pPr>
              <w:pStyle w:val="a9"/>
              <w:rPr>
                <w:sz w:val="24"/>
                <w:szCs w:val="24"/>
              </w:rPr>
            </w:pPr>
            <w:r w:rsidRPr="0027138D">
              <w:rPr>
                <w:sz w:val="24"/>
                <w:szCs w:val="24"/>
              </w:rPr>
              <w:t xml:space="preserve">5. допущение  на первое число  каждого месяца календарного периода, по итогам которого осуществляется оценка </w:t>
            </w:r>
            <w:proofErr w:type="gramStart"/>
            <w:r w:rsidRPr="0027138D">
              <w:rPr>
                <w:sz w:val="24"/>
                <w:szCs w:val="24"/>
              </w:rPr>
              <w:t>результатов выполнения качественных показателей эффективности деятельности</w:t>
            </w:r>
            <w:proofErr w:type="gramEnd"/>
            <w:r w:rsidRPr="0027138D">
              <w:rPr>
                <w:sz w:val="24"/>
                <w:szCs w:val="24"/>
              </w:rPr>
              <w:t xml:space="preserve"> учреждения,  непогашенной (неурегулированной)  просроченной кредиторской задолженности  по  государственным контрактам (договорам) на закупку товаров, работ, услуг для  обеспечения государственных нужд, возникшей в результате действий (бездействия) руководителя учреждения</w:t>
            </w:r>
          </w:p>
        </w:tc>
      </w:tr>
    </w:tbl>
    <w:p w:rsidR="008530EE" w:rsidRPr="0027138D" w:rsidRDefault="008530EE" w:rsidP="008530E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8"/>
        <w:gridCol w:w="4492"/>
      </w:tblGrid>
      <w:tr w:rsidR="008530EE" w:rsidRPr="0027138D" w:rsidTr="00EA49DC">
        <w:tc>
          <w:tcPr>
            <w:tcW w:w="5078" w:type="dxa"/>
            <w:shd w:val="clear" w:color="auto" w:fill="auto"/>
          </w:tcPr>
          <w:p w:rsidR="008530EE" w:rsidRPr="0027138D" w:rsidRDefault="008530EE" w:rsidP="00EA49DC">
            <w:pPr>
              <w:snapToGrid w:val="0"/>
              <w:ind w:right="-54"/>
              <w:jc w:val="right"/>
            </w:pPr>
          </w:p>
        </w:tc>
        <w:tc>
          <w:tcPr>
            <w:tcW w:w="4492" w:type="dxa"/>
            <w:shd w:val="clear" w:color="auto" w:fill="auto"/>
          </w:tcPr>
          <w:p w:rsidR="008530EE" w:rsidRPr="0027138D" w:rsidRDefault="008530EE" w:rsidP="00EA49DC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EE" w:rsidRPr="0027138D" w:rsidRDefault="008530EE" w:rsidP="00EA49DC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EE" w:rsidRPr="0027138D" w:rsidRDefault="008530EE" w:rsidP="00EA49DC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EE" w:rsidRPr="0027138D" w:rsidRDefault="008530EE" w:rsidP="00EA49DC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EE" w:rsidRPr="0027138D" w:rsidRDefault="008530EE" w:rsidP="00EA49DC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EE" w:rsidRPr="0027138D" w:rsidRDefault="008530EE" w:rsidP="00EA49DC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EE" w:rsidRPr="0027138D" w:rsidRDefault="008530EE" w:rsidP="00EA49DC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EE" w:rsidRPr="0027138D" w:rsidRDefault="008530EE" w:rsidP="00EA49DC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EE" w:rsidRPr="0027138D" w:rsidRDefault="008530EE" w:rsidP="00EA49DC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EE" w:rsidRPr="0027138D" w:rsidRDefault="008530EE" w:rsidP="00EA49DC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EE" w:rsidRPr="0027138D" w:rsidRDefault="008530EE" w:rsidP="00EA49DC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EE" w:rsidRPr="0027138D" w:rsidRDefault="008530EE" w:rsidP="00EA49DC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EE" w:rsidRPr="0027138D" w:rsidRDefault="008530EE" w:rsidP="00EA49DC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EE" w:rsidRPr="0027138D" w:rsidRDefault="008530EE" w:rsidP="00EA49DC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EE" w:rsidRPr="0027138D" w:rsidRDefault="008530EE" w:rsidP="00EA49DC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EE" w:rsidRPr="0027138D" w:rsidRDefault="008530EE" w:rsidP="00EA49DC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EE" w:rsidRPr="0027138D" w:rsidRDefault="008530EE" w:rsidP="00EA49DC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EE" w:rsidRPr="0027138D" w:rsidRDefault="008530EE" w:rsidP="00EA49DC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EE" w:rsidRPr="0027138D" w:rsidRDefault="008530EE" w:rsidP="00EA49DC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EE" w:rsidRPr="0027138D" w:rsidRDefault="008530EE" w:rsidP="00EA49DC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EE" w:rsidRPr="0027138D" w:rsidRDefault="008530EE" w:rsidP="008530EE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0EE" w:rsidRPr="0027138D" w:rsidRDefault="008530EE" w:rsidP="00BA1B54">
      <w:pPr>
        <w:jc w:val="both"/>
      </w:pPr>
    </w:p>
    <w:sectPr w:rsidR="008530EE" w:rsidRPr="00271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D1"/>
    <w:rsid w:val="001B4E2B"/>
    <w:rsid w:val="002343F4"/>
    <w:rsid w:val="0027138D"/>
    <w:rsid w:val="00373933"/>
    <w:rsid w:val="003D71D1"/>
    <w:rsid w:val="004B7C7D"/>
    <w:rsid w:val="007601F3"/>
    <w:rsid w:val="007D05E7"/>
    <w:rsid w:val="00833334"/>
    <w:rsid w:val="008530EE"/>
    <w:rsid w:val="008F4364"/>
    <w:rsid w:val="00982913"/>
    <w:rsid w:val="00993DCB"/>
    <w:rsid w:val="00B936D7"/>
    <w:rsid w:val="00BA1B54"/>
    <w:rsid w:val="00BB060B"/>
    <w:rsid w:val="00C553E3"/>
    <w:rsid w:val="00D455EA"/>
    <w:rsid w:val="00D60201"/>
    <w:rsid w:val="00E87580"/>
    <w:rsid w:val="00F2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1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71D1"/>
    <w:rPr>
      <w:sz w:val="28"/>
    </w:rPr>
  </w:style>
  <w:style w:type="character" w:customStyle="1" w:styleId="a4">
    <w:name w:val="Основной текст Знак"/>
    <w:basedOn w:val="a0"/>
    <w:link w:val="a3"/>
    <w:rsid w:val="003D71D1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No Spacing"/>
    <w:qFormat/>
    <w:rsid w:val="003D71D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Standard">
    <w:name w:val="Standard"/>
    <w:rsid w:val="003D71D1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a6">
    <w:name w:val="Balloon Text"/>
    <w:basedOn w:val="a"/>
    <w:link w:val="a7"/>
    <w:uiPriority w:val="99"/>
    <w:semiHidden/>
    <w:unhideWhenUsed/>
    <w:rsid w:val="003D71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1D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Normal (Web)"/>
    <w:basedOn w:val="a"/>
    <w:uiPriority w:val="99"/>
    <w:unhideWhenUsed/>
    <w:rsid w:val="0037393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">
    <w:name w:val="мой нормальный"/>
    <w:basedOn w:val="a"/>
    <w:autoRedefine/>
    <w:rsid w:val="008530EE"/>
    <w:pPr>
      <w:suppressAutoHyphens w:val="0"/>
      <w:contextualSpacing/>
      <w:jc w:val="center"/>
    </w:pPr>
    <w:rPr>
      <w:sz w:val="27"/>
      <w:szCs w:val="27"/>
      <w:lang w:eastAsia="en-US"/>
    </w:rPr>
  </w:style>
  <w:style w:type="character" w:styleId="aa">
    <w:name w:val="Strong"/>
    <w:qFormat/>
    <w:rsid w:val="008530EE"/>
    <w:rPr>
      <w:rFonts w:cs="Times New Roman"/>
      <w:b/>
      <w:bCs/>
    </w:rPr>
  </w:style>
  <w:style w:type="character" w:styleId="ab">
    <w:name w:val="Hyperlink"/>
    <w:rsid w:val="008530E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1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71D1"/>
    <w:rPr>
      <w:sz w:val="28"/>
    </w:rPr>
  </w:style>
  <w:style w:type="character" w:customStyle="1" w:styleId="a4">
    <w:name w:val="Основной текст Знак"/>
    <w:basedOn w:val="a0"/>
    <w:link w:val="a3"/>
    <w:rsid w:val="003D71D1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No Spacing"/>
    <w:qFormat/>
    <w:rsid w:val="003D71D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Standard">
    <w:name w:val="Standard"/>
    <w:rsid w:val="003D71D1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a6">
    <w:name w:val="Balloon Text"/>
    <w:basedOn w:val="a"/>
    <w:link w:val="a7"/>
    <w:uiPriority w:val="99"/>
    <w:semiHidden/>
    <w:unhideWhenUsed/>
    <w:rsid w:val="003D71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1D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Normal (Web)"/>
    <w:basedOn w:val="a"/>
    <w:uiPriority w:val="99"/>
    <w:unhideWhenUsed/>
    <w:rsid w:val="0037393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">
    <w:name w:val="мой нормальный"/>
    <w:basedOn w:val="a"/>
    <w:autoRedefine/>
    <w:rsid w:val="008530EE"/>
    <w:pPr>
      <w:suppressAutoHyphens w:val="0"/>
      <w:contextualSpacing/>
      <w:jc w:val="center"/>
    </w:pPr>
    <w:rPr>
      <w:sz w:val="27"/>
      <w:szCs w:val="27"/>
      <w:lang w:eastAsia="en-US"/>
    </w:rPr>
  </w:style>
  <w:style w:type="character" w:styleId="aa">
    <w:name w:val="Strong"/>
    <w:qFormat/>
    <w:rsid w:val="008530EE"/>
    <w:rPr>
      <w:rFonts w:cs="Times New Roman"/>
      <w:b/>
      <w:bCs/>
    </w:rPr>
  </w:style>
  <w:style w:type="character" w:styleId="ab">
    <w:name w:val="Hyperlink"/>
    <w:rsid w:val="008530E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1204</Words>
  <Characters>6864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АДМИНИСТРАЦИЯ ИНДЕРСКОГО СЕЛЬСОВЕТА</vt:lpstr>
      <vt:lpstr>ДОВОЛЕНСКОГО РАЙОНА НОВОСИБИРСКОЙ ОБЛАСТИ</vt:lpstr>
      <vt:lpstr/>
      <vt:lpstr/>
      <vt:lpstr>ПОСТАНОВЛЕНИЕ</vt:lpstr>
      <vt:lpstr/>
      <vt:lpstr>Доволенского района        </vt:lpstr>
    </vt:vector>
  </TitlesOfParts>
  <Company>Microsoft</Company>
  <LinksUpToDate>false</LinksUpToDate>
  <CharactersWithSpaces>8052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2023-02-06T08:31:00Z</cp:lastPrinted>
  <dcterms:created xsi:type="dcterms:W3CDTF">2023-02-09T08:46:00Z</dcterms:created>
  <dcterms:modified xsi:type="dcterms:W3CDTF">2023-02-10T02:52:00Z</dcterms:modified>
</cp:coreProperties>
</file>